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840"/>
        <w:jc w:val="center"/>
        <w:bidi w:val="1"/>
      </w:pPr>
      <w:r>
        <w:rPr>
          <w:rFonts w:ascii="Vazirmatn" w:hAnsi="Vazirmatn" w:cs="Vazirmatn"/>
          <w:b/>
          <w:color w:val="0D2A4A"/>
          <w:sz w:val="68"/>
          <w:rtl w:val="1"/>
        </w:rPr>
        <w:t>گزارش مجمع ۱۴۰۵</w:t>
      </w:r>
    </w:p>
    <w:p>
      <w:pPr>
        <w:jc w:val="center"/>
        <w:bidi w:val="1"/>
      </w:pPr>
      <w:r>
        <w:rPr>
          <w:rFonts w:ascii="Vazirmatn" w:hAnsi="Vazirmatn" w:cs="Vazirmatn"/>
          <w:color w:val="1463A5"/>
          <w:sz w:val="34"/>
          <w:rtl w:val="1"/>
        </w:rPr>
        <w:t>مرور مالی، تحلیل روند، آینده‌پژوهی و چارچوب تصمیم‌گیری راهبردی</w:t>
      </w:r>
    </w:p>
    <w:p>
      <w:pPr>
        <w:spacing w:before="520"/>
        <w:jc w:val="center"/>
        <w:bidi w:val="1"/>
      </w:pPr>
      <w:r>
        <w:rPr>
          <w:rFonts w:ascii="Vazirmatn" w:hAnsi="Vazirmatn" w:cs="Vazirmatn"/>
          <w:sz w:val="26"/>
          <w:rtl w:val="1"/>
        </w:rPr>
        <w:t>شرکت مرکز ملی شماره‌گذاری کالا و خدمات ایران (سهامی خاص)</w:t>
      </w:r>
    </w:p>
    <w:p>
      <w:pPr>
        <w:spacing w:before="360"/>
        <w:jc w:val="center"/>
        <w:bidi w:val="1"/>
      </w:pPr>
      <w:r>
        <w:rPr>
          <w:rFonts w:ascii="Vazirmatn" w:hAnsi="Vazirmatn" w:cs="Vazirmatn"/>
          <w:b/>
          <w:color w:val="B73A3A"/>
          <w:sz w:val="22"/>
          <w:rtl w:val="1"/>
        </w:rPr>
        <w:t>وضعیت انتشار: عمومیِ مشتق‌شده | تحلیل مدیریتیِ مبتنی بر منبع | نه نظر حسابرس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522618"/>
            <wp:docPr id="1" name="Picture 1" descr="شکل ۱ — زنجیرهٔ داده و مرز انتشار عمومی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ta-line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5226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 — زنجیرهٔ داده و مرز انتشار عمومی.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FF4D9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مرز ادعا: </w:t>
            </w:r>
            <w:r>
              <w:rPr>
                <w:rFonts w:ascii="Vazirmatn" w:hAnsi="Vazirmatn" w:cs="Vazirmatn"/>
                <w:sz w:val="20"/>
                <w:rtl w:val="1"/>
              </w:rPr>
              <w:t>نسخهٔ عمومی مشتق‌شده و تجمیعی در پی درخواست مالک؛ اسناد خام منتشر نشده‌اند. تحلیل تاریخی ۱۴۰۰ تا ۱۴۰۴ است. ارقام ۱۴۰۵ تا ۱۴۰۹ صرفاً خروجی مدل سناریوییِ شفاف، غیراحتمالی و قابل ویرایش‌اند؛ نه بودجه، پیش‌بینی قطعی، نظر حسابرس یا توصیهٔ سرمایه‌گذاری.</w:t>
            </w:r>
          </w:p>
        </w:tc>
      </w:tr>
    </w:tbl>
    <w:p/>
    <w:p>
      <w:pPr>
        <w:spacing w:after="0"/>
        <w:jc w:val="right"/>
        <w:bidi w:val="1"/>
      </w:pPr>
      <w:r>
        <w:rPr>
          <w:rFonts w:ascii="Vazirmatn" w:hAnsi="Vazirmatn" w:cs="Vazirmatn"/>
          <w:b w:val="0"/>
          <w:color w:val="637383"/>
          <w:sz w:val="20"/>
          <w:rtl w:val="1"/>
        </w:rPr>
        <w:t>تاریخ تهیه: ۱۴۰۵/۰۶/۱۰ | مبنای زمانی: سال‌های مالی ۱۴۰۰ تا ۱۴۰۴</w:t>
      </w:r>
    </w:p>
    <w:p>
      <w:r>
        <w:br w:type="page"/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۱. Executive Summary | جمع‌بندی اجرایی</w:t>
      </w:r>
    </w:p>
    <w:p>
      <w:pPr>
        <w:jc w:val="right"/>
        <w:bidi w:val="1"/>
      </w:pPr>
      <w:r>
        <w:rPr>
          <w:rFonts w:ascii="Vazirmatn" w:hAnsi="Vazirmatn" w:cs="Vazirmatn"/>
          <w:b w:val="0"/>
          <w:sz w:val="22"/>
          <w:rtl w:val="1"/>
        </w:rPr>
        <w:t>درآمد از ۳۷۷٫۴ به ۱٬۵۷۵٫۹ میلیارد ریال در بازهٔ ۱۴۰۰ تا ۱۴۰۴ رسیده است؛ رشد مرکب تاریخی آن ۴۲٫۹٪ محاسبه می‌شود. سود ناخالص و جریان نقد عملیاتی نیز در ۱۴۰۴ به‌ترتیب ۶۱۴٫۱ و ۴۱۴٫۰ میلیارد ریال ثبت شده‌اند. این‌ها مقادیر استخراج‌شده از کاربرگ اولیهٔ هر سال‌اند، نه بازنویسی مقایسه‌ایِ دفاتر بعدی.</w:t>
      </w:r>
    </w:p>
    <w:p>
      <w:pPr>
        <w:pStyle w:val="ListBullet"/>
        <w:jc w:val="right"/>
        <w:bidi w:val="1"/>
      </w:pPr>
      <w:r>
        <w:rPr>
          <w:rFonts w:ascii="Vazirmatn" w:hAnsi="Vazirmatn" w:cs="Vazirmatn"/>
          <w:sz w:val="21"/>
          <w:rtl w:val="1"/>
        </w:rPr>
        <w:t>مستند: حاشیهٔ سود ناخالص از ۳۳٫۴٪ در ۱۴۰۰ به ۳۹٫۰٪ در ۱۴۰۴ رسیده است.</w:t>
      </w:r>
    </w:p>
    <w:p>
      <w:pPr>
        <w:pStyle w:val="ListBullet"/>
        <w:jc w:val="right"/>
        <w:bidi w:val="1"/>
      </w:pPr>
      <w:r>
        <w:rPr>
          <w:rFonts w:ascii="Vazirmatn" w:hAnsi="Vazirmatn" w:cs="Vazirmatn"/>
          <w:sz w:val="21"/>
          <w:rtl w:val="1"/>
        </w:rPr>
        <w:t>محاسبه‌شده: نسبت بدهی به حقوق مالکانه در ۱۴۰۴ حدود ۹٫۴۸× است؛ پس رشد دارایی باید همراه با پایش ساختار سرمایه خوانده شود.</w:t>
      </w:r>
    </w:p>
    <w:p>
      <w:pPr>
        <w:pStyle w:val="ListBullet"/>
        <w:jc w:val="right"/>
        <w:bidi w:val="1"/>
      </w:pPr>
      <w:r>
        <w:rPr>
          <w:rFonts w:ascii="Vazirmatn" w:hAnsi="Vazirmatn" w:cs="Vazirmatn"/>
          <w:sz w:val="21"/>
          <w:rtl w:val="1"/>
        </w:rPr>
        <w:t>مستند: جریان نقد عملیاتی پس از منفی بودن در ۱۴۰۰، از ۱۴۰۱ تا ۱۴۰۴ مثبت مانده و موجودی پایان دوره در ۱۴۰۴ به ۳۰۲٫۷ میلیارد ریال رسیده است.</w:t>
      </w:r>
    </w:p>
    <w:p>
      <w:pPr>
        <w:pStyle w:val="ListBullet"/>
        <w:jc w:val="right"/>
        <w:bidi w:val="1"/>
      </w:pPr>
      <w:r>
        <w:rPr>
          <w:rFonts w:ascii="Vazirmatn" w:hAnsi="Vazirmatn" w:cs="Vazirmatn"/>
          <w:sz w:val="21"/>
          <w:rtl w:val="1"/>
        </w:rPr>
        <w:t>نیازمند تأیید: نظر حسابرس مستقل در آرشیو بررسی‌شده ارائه یا تأیید نشد؛ این گزارش نمی‌تواند جایگزین آن باشد.</w:t>
      </w:r>
    </w:p>
    <w:p>
      <w:pPr>
        <w:pStyle w:val="ListBullet"/>
        <w:jc w:val="right"/>
        <w:bidi w:val="1"/>
      </w:pPr>
      <w:r>
        <w:rPr>
          <w:rFonts w:ascii="Vazirmatn" w:hAnsi="Vazirmatn" w:cs="Vazirmatn"/>
          <w:sz w:val="21"/>
          <w:rtl w:val="1"/>
        </w:rPr>
        <w:t>سناریویی: برای ۱۴۰۵ تا ۱۴۰۹ چهار مسیر عددیِ غیراحتمالی و قابل ویرایش ارائه شده است؛ این مسیرها بودجه یا پیش‌بینی قطعی نیستند.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E6F0F8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پیام برای مجمع: </w:t>
            </w:r>
            <w:r>
              <w:rPr>
                <w:rFonts w:ascii="Vazirmatn" w:hAnsi="Vazirmatn" w:cs="Vazirmatn"/>
                <w:sz w:val="20"/>
                <w:rtl w:val="1"/>
              </w:rPr>
              <w:t>تصمیم فوری پیشنهادی، تأیید یا ردِ رقم جدید نیست؛ بلکه تعیین مالک و زمان‌بندی برای تطبیق مقایسه‌ای، بستهٔ شواهد و پایش نقدینگی/اهرم است.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۲. دامنه، روش و کنترل کیفیت داده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تمام ارقام در این گزارش به میلیارد ریال ارائه شده‌اند. سال ۱۴۰۲ در منبع به میلیون ریال ثبت شده بود و برای هم‌مقیاس‌سازی ×۱٬۰۰۰٬۰۰۰ به ریال تبدیل شد. به علت اختلاف‌های مشاهده‌شده در ستون‌های مقایسه‌ای بین فایل‌ها، برای هر سال از مقادیر کاربرگ همان سال استفاده شده است.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3500"/>
        <w:gridCol w:w="4160"/>
      </w:tblGrid>
      <w:tr>
        <w:trPr>
          <w:tblHeader w:val="true"/>
          <w:cantSplit w:val="true"/>
        </w:trPr>
        <w:tc>
          <w:tcPr>
            <w:tcW w:type="dxa" w:w="17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موضوع کنترل</w:t>
            </w:r>
          </w:p>
        </w:tc>
        <w:tc>
          <w:tcPr>
            <w:tcW w:type="dxa" w:w="35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روش اجرا</w:t>
            </w:r>
          </w:p>
        </w:tc>
        <w:tc>
          <w:tcPr>
            <w:tcW w:type="dxa" w:w="41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نتیجه / مرز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منبع اولیه</w:t>
            </w:r>
          </w:p>
        </w:tc>
        <w:tc>
          <w:tcPr>
            <w:tcW w:type="dxa" w:w="35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کاربرگ مالیِ مستقل هر سال + آدرس سلول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قابل ردیابی در source-register.json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واحد ۱۴۰۲</w:t>
            </w:r>
          </w:p>
        </w:tc>
        <w:tc>
          <w:tcPr>
            <w:tcW w:type="dxa" w:w="35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تبدیل میلیون ریال به ریال؛ نمایش نهایی میلیارد ریال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نرمال‌شده و برچسب‌خورده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ستون‌های مقایسه‌ای</w:t>
            </w:r>
          </w:p>
        </w:tc>
        <w:tc>
          <w:tcPr>
            <w:tcW w:type="dxa" w:w="35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عدم اتکا برای ترکیب سری زمانی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نیازمند تطبیق رسمی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لینک بیرونی ۱۴۰۱</w:t>
            </w:r>
          </w:p>
        </w:tc>
        <w:tc>
          <w:tcPr>
            <w:tcW w:type="dxa" w:w="35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ارزش‌ها به‌صورت cached/static خوانده شد؛ لینک دنبال نشد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عدم اتکای محاسباتی به لینک بیرونی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نظر حسابرس</w:t>
            </w:r>
          </w:p>
        </w:tc>
        <w:tc>
          <w:tcPr>
            <w:tcW w:type="dxa" w:w="35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در آرشیو تأیید نشد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نباید استنباط شود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انتشار عمومی</w:t>
            </w:r>
          </w:p>
        </w:tc>
        <w:tc>
          <w:tcPr>
            <w:tcW w:type="dxa" w:w="35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تنها ارقام تجمیعی، محاسبات و آدرس‌های منبع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اسناد خام و دادهٔ هویتی منتشر نشده‌اند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522618"/>
            <wp:docPr id="2" name="Picture 2" descr="شکل ۲ — مسیر از کاربرگ‌های اولیه تا بستهٔ عمومی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ata-line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5226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۲ — مسیر از کاربرگ‌های اولیه تا بستهٔ عمومی.</w:t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۳. تصویر پنج‌سالهٔ مالی</w:t>
      </w:r>
    </w:p>
    <w:tbl>
      <w:tblPr>
        <w:tblStyle w:val="TableGrid"/>
        <w:tblW w:type="dxa" w:w="893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560"/>
        <w:gridCol w:w="930"/>
        <w:gridCol w:w="930"/>
        <w:gridCol w:w="930"/>
        <w:gridCol w:w="930"/>
        <w:gridCol w:w="930"/>
        <w:gridCol w:w="930"/>
        <w:gridCol w:w="930"/>
        <w:gridCol w:w="930"/>
        <w:gridCol w:w="930"/>
      </w:tblGrid>
      <w:tr>
        <w:trPr>
          <w:tblHeader w:val="true"/>
          <w:cantSplit w:val="true"/>
        </w:trPr>
        <w:tc>
          <w:tcPr>
            <w:tcW w:type="dxa" w:w="5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سال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درآمد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سود ناخالص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سود عملیاتی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سود خالص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دارایی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بدهی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حقوق مالکانه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جریان نقد عملیاتی</w:t>
            </w:r>
          </w:p>
        </w:tc>
        <w:tc>
          <w:tcPr>
            <w:tcW w:type="dxa" w:w="93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نقد پایان دوره</w:t>
            </w:r>
          </w:p>
        </w:tc>
      </w:tr>
      <w:tr>
        <w:trPr>
          <w:cantSplit w:val="true"/>
        </w:trPr>
        <w:tc>
          <w:tcPr>
            <w:tcW w:type="dxa" w:w="56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۱۴۰۰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۳۷۷٫۴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۱۲۶٫۰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۱۲٫۳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۱۲٫۰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۲۳۹٫۵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۱۷۷٫۴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۶۲٫۱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(۱۲٫۵)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۶۳٫۲</w:t>
            </w:r>
          </w:p>
        </w:tc>
      </w:tr>
      <w:tr>
        <w:trPr>
          <w:cantSplit w:val="true"/>
        </w:trPr>
        <w:tc>
          <w:tcPr>
            <w:tcW w:type="dxa" w:w="56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۱۴۰۱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۵۳۷٫۵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۱۵۲٫۳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۷٫۸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۷٫۸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۳۱۹٫۳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۲۵۲٫۳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۶۷٫۰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۱۲۶٫۲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۱۴۱٫۸</w:t>
            </w:r>
          </w:p>
        </w:tc>
      </w:tr>
      <w:tr>
        <w:trPr>
          <w:cantSplit w:val="true"/>
        </w:trPr>
        <w:tc>
          <w:tcPr>
            <w:tcW w:type="dxa" w:w="56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۱۴۰۲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۹۱۸٫۸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۲۷۸٫۶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۳۲٫۹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۲۰٫۴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۸۲۹٫۴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۷۳۶٫۹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۹۲٫۵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۲۸۰٫۰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۱۰۱٫۵</w:t>
            </w:r>
          </w:p>
        </w:tc>
      </w:tr>
      <w:tr>
        <w:trPr>
          <w:cantSplit w:val="true"/>
        </w:trPr>
        <w:tc>
          <w:tcPr>
            <w:tcW w:type="dxa" w:w="56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۱۴۰۳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۱٬۰۸۰٫۶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۴۰۱٫۷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۷۷٫۸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۱۹٫۴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۸۸۸٫۱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۸۱۰٫۷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۷۷٫۴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۱۸۹٫۸</w:t>
            </w:r>
          </w:p>
        </w:tc>
        <w:tc>
          <w:tcPr>
            <w:tcW w:type="dxa" w:w="93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۱۳۸٫۹</w:t>
            </w:r>
          </w:p>
        </w:tc>
      </w:tr>
      <w:tr>
        <w:trPr>
          <w:cantSplit w:val="true"/>
        </w:trPr>
        <w:tc>
          <w:tcPr>
            <w:tcW w:type="dxa" w:w="56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۱۴۰۴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۱٬۵۷۵٫۹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۶۱۴٫۱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۹۰٫۷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۴۱٫۹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۱٬۲۵۰٫۷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۱٬۱۳۱٫۳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۱۱۹٫۳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۴۱۴٫۰</w:t>
            </w:r>
          </w:p>
        </w:tc>
        <w:tc>
          <w:tcPr>
            <w:tcW w:type="dxa" w:w="93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۳۰۲٫۷</w:t>
            </w:r>
          </w:p>
        </w:tc>
      </w:tr>
    </w:tbl>
    <w:p/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جدول ۱ — اقلام منتخب صورت‌های مالی؛ همه ارقام میلیارد ریال و مبتنی بر کاربرگ اولیهٔ هر سال.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3" name="Picture 3" descr="شکل ۳ — درآمد و سود ناخالص؛ نمایش ستونی برای پنج مشاهدهٔ سالانه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evenue-gros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۳ — درآمد و سود ناخالص؛ نمایش ستونی برای پنج مشاهدهٔ سالانه.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محاسبهٔ روند: درآمد در ۱۴۰۴ نسبت به ۱۴۰۰ حدود ۴٫۱۸ برابر و سود ناخالص حدود ۴٫۸۷ برابر شده است. این نسبت‌ها توصیفی هستند و به‌معنای پیش‌بینی ادامهٔ روند نیستند.</w:t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۴. سودآوری و کیفیت حاشیه‌ها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4" name="Picture 4" descr="شکل ۴ — سود عملیاتی و سود خالص در دورهٔ تاریخی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fitability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۴ — سود عملیاتی و سود خالص در دورهٔ تاریخی.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5" name="Picture 5" descr="شکل ۵ — حاشیهٔ سود ناخالص و خالص به‌عنوان درصدی از درآمد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gins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۵ — حاشیهٔ سود ناخالص و خالص به‌عنوان درصدی از درآمد.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800"/>
        <w:gridCol w:w="1800"/>
        <w:gridCol w:w="1800"/>
        <w:gridCol w:w="2160"/>
      </w:tblGrid>
      <w:tr>
        <w:trPr>
          <w:tblHeader w:val="true"/>
          <w:cantSplit w:val="true"/>
        </w:trPr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سال</w:t>
            </w:r>
          </w:p>
        </w:tc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حاشیه ناخالص</w:t>
            </w:r>
          </w:p>
        </w:tc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حاشیه عملیاتی</w:t>
            </w:r>
          </w:p>
        </w:tc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حاشیه خالص</w:t>
            </w:r>
          </w:p>
        </w:tc>
        <w:tc>
          <w:tcPr>
            <w:tcW w:type="dxa" w:w="21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رشد سالانه درآمد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۱۴۰۰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۳۳٫۴٪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۳٫۳٪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۳٫۲٪</w:t>
            </w:r>
          </w:p>
        </w:tc>
        <w:tc>
          <w:tcPr>
            <w:tcW w:type="dxa" w:w="2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—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۱۴۰۱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۲۸٫۳٪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۱٫۴٪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۱٫۴٪</w:t>
            </w:r>
          </w:p>
        </w:tc>
        <w:tc>
          <w:tcPr>
            <w:tcW w:type="dxa" w:w="2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۴۲٫۴٪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۱۴۰۲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۳۰٫۳٪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۳٫۶٪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۲٫۲٪</w:t>
            </w:r>
          </w:p>
        </w:tc>
        <w:tc>
          <w:tcPr>
            <w:tcW w:type="dxa" w:w="2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۷۰٫۹٪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۱۴۰۳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۳۷٫۲٪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۷٫۲٪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۱٫۸٪</w:t>
            </w:r>
          </w:p>
        </w:tc>
        <w:tc>
          <w:tcPr>
            <w:tcW w:type="dxa" w:w="2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۱۷٫۶٪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۱۴۰۴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۳۹٫۰٪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۵٫۸٪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۲٫۷٪</w:t>
            </w:r>
          </w:p>
        </w:tc>
        <w:tc>
          <w:tcPr>
            <w:tcW w:type="dxa" w:w="2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۴۵٫۸٪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FF4D9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تفسیر کنترل‌شده: </w:t>
            </w:r>
            <w:r>
              <w:rPr>
                <w:rFonts w:ascii="Vazirmatn" w:hAnsi="Vazirmatn" w:cs="Vazirmatn"/>
                <w:sz w:val="20"/>
                <w:rtl w:val="1"/>
              </w:rPr>
              <w:t>بهبود حاشیهٔ ناخالص در ۱۴۰۳ و ۱۴۰۴ قابل مشاهده است، اما حاشیهٔ خالص با دامنهٔ محدودتر حرکت می‌کند. برای تفسیر علّی، به تجزیهٔ هزینه‌ها، اقلام غیرعملیاتی، سیاست‌های حسابداری و شواهد حسابرسیِ جداگانه نیاز است.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۵. ترازنامه، ساختار سرمایه و نقدینگی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6" name="Picture 6" descr="شکل ۶ — دارایی‌ها و اجزای تأمین مالی؛ جمع بدهی و حقوق مالکانه با دارایی مقایسه شده است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lance-struc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۶ — دارایی‌ها و اجزای تأمین مالی؛ جمع بدهی و حقوق مالکانه با دارایی مقایسه شده است.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7" name="Picture 7" descr="شکل ۷ — جریان نقد عملیاتی و نقد پایان دوره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h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۷ — جریان نقد عملیاتی و نقد پایان دوره.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8" name="Picture 8" descr="شکل ۸ — نسبت بدهی به حقوق مالکانه؛ نسبت محاسبه‌شده از اقلام ترازنامه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ver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۸ — نسبت بدهی به حقوق مالکانه؛ نسبت محاسبه‌شده از اقلام ترازنامه.</w:t>
      </w:r>
    </w:p>
    <w:tbl>
      <w:tblPr>
        <w:tblStyle w:val="TableGrid"/>
        <w:tblW w:type="dxa" w:w="99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320"/>
        <w:gridCol w:w="1600"/>
        <w:gridCol w:w="1600"/>
        <w:gridCol w:w="1600"/>
        <w:gridCol w:w="2040"/>
        <w:gridCol w:w="1800"/>
      </w:tblGrid>
      <w:tr>
        <w:trPr>
          <w:tblHeader w:val="true"/>
          <w:cantSplit w:val="true"/>
        </w:trPr>
        <w:tc>
          <w:tcPr>
            <w:tcW w:type="dxa" w:w="132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سال</w:t>
            </w:r>
          </w:p>
        </w:tc>
        <w:tc>
          <w:tcPr>
            <w:tcW w:type="dxa" w:w="16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دارایی</w:t>
            </w:r>
          </w:p>
        </w:tc>
        <w:tc>
          <w:tcPr>
            <w:tcW w:type="dxa" w:w="16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بدهی</w:t>
            </w:r>
          </w:p>
        </w:tc>
        <w:tc>
          <w:tcPr>
            <w:tcW w:type="dxa" w:w="16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حقوق مالکانه</w:t>
            </w:r>
          </w:p>
        </w:tc>
        <w:tc>
          <w:tcPr>
            <w:tcW w:type="dxa" w:w="204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بدهی/حقوق مالکانه</w:t>
            </w:r>
          </w:p>
        </w:tc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کنترل تراز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۱۴۰۰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۲۳۹٫۵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۱۷۷٫۴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۶۲٫۱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۲٫۸۶×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۰٫۰۰۰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۱۴۰۱</w:t>
            </w:r>
          </w:p>
        </w:tc>
        <w:tc>
          <w:tcPr>
            <w:tcW w:type="dxa" w:w="1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۳۱۹٫۳</w:t>
            </w:r>
          </w:p>
        </w:tc>
        <w:tc>
          <w:tcPr>
            <w:tcW w:type="dxa" w:w="1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۲۵۲٫۳</w:t>
            </w:r>
          </w:p>
        </w:tc>
        <w:tc>
          <w:tcPr>
            <w:tcW w:type="dxa" w:w="1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۶۷٫۰</w:t>
            </w:r>
          </w:p>
        </w:tc>
        <w:tc>
          <w:tcPr>
            <w:tcW w:type="dxa" w:w="204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۳٫۷۷×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۰٫۰۰۰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۱۴۰۲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۸۲۹٫۴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۷۳۶٫۹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۹۲٫۵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۷٫۹۷×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۰٫۰۰۰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۱۴۰۳</w:t>
            </w:r>
          </w:p>
        </w:tc>
        <w:tc>
          <w:tcPr>
            <w:tcW w:type="dxa" w:w="1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۸۸۸٫۱</w:t>
            </w:r>
          </w:p>
        </w:tc>
        <w:tc>
          <w:tcPr>
            <w:tcW w:type="dxa" w:w="1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۸۱۰٫۷</w:t>
            </w:r>
          </w:p>
        </w:tc>
        <w:tc>
          <w:tcPr>
            <w:tcW w:type="dxa" w:w="1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۷۷٫۴</w:t>
            </w:r>
          </w:p>
        </w:tc>
        <w:tc>
          <w:tcPr>
            <w:tcW w:type="dxa" w:w="204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۱۰٫۴۷×</w:t>
            </w:r>
          </w:p>
        </w:tc>
        <w:tc>
          <w:tcPr>
            <w:tcW w:type="dxa" w:w="18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۰٫۰۰۰</w:t>
            </w:r>
          </w:p>
        </w:tc>
      </w:tr>
      <w:tr>
        <w:trPr>
          <w:cantSplit w:val="true"/>
        </w:trPr>
        <w:tc>
          <w:tcPr>
            <w:tcW w:type="dxa" w:w="132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۱۴۰۴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۱٬۲۵۰٫۷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۱٬۱۳۱٫۳</w:t>
            </w:r>
          </w:p>
        </w:tc>
        <w:tc>
          <w:tcPr>
            <w:tcW w:type="dxa" w:w="1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۱۱۹٫۳</w:t>
            </w:r>
          </w:p>
        </w:tc>
        <w:tc>
          <w:tcPr>
            <w:tcW w:type="dxa" w:w="204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۹٫۴۸×</w:t>
            </w:r>
          </w:p>
        </w:tc>
        <w:tc>
          <w:tcPr>
            <w:tcW w:type="dxa" w:w="18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۰٫۰۰۰</w:t>
            </w:r>
          </w:p>
        </w:tc>
      </w:tr>
    </w:tbl>
    <w:p/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جدول ۲ — «کنترل تراز» برابر دارایی منهای بدهی و حقوق مالکانه است؛ اختلاف‌های جزئی از گردکردن/دقت سلول‌ها ناشی می‌شود.</w:t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۶. محدودیت‌های قابل گزارش و رجیستر ریسک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این بخش ریسک‌های تصمیم را از ریسک عملیاتی جدا می‌کند. شدت‌ها کیفی‌اند و جایگزین احتمال‌سنجی، ارزش‌گذاری یا برنامهٔ بودجه نیستند.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790981"/>
            <wp:docPr id="9" name="Picture 9" descr="شکل ۹ — ماتریس کیفیِ ریسک‌های تصمیم و شواهد موردنیاز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isk-matrix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79098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۹ — ماتریس کیفیِ ریسک‌های تصمیم و شواهد موردنیاز.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800"/>
        <w:gridCol w:w="1900"/>
        <w:gridCol w:w="2600"/>
        <w:gridCol w:w="3060"/>
      </w:tblGrid>
      <w:tr>
        <w:trPr>
          <w:tblHeader w:val="true"/>
          <w:cantSplit w:val="true"/>
        </w:trPr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ریسک / عدم‌قطعیت</w:t>
            </w:r>
          </w:p>
        </w:tc>
        <w:tc>
          <w:tcPr>
            <w:tcW w:type="dxa" w:w="19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شاهد</w:t>
            </w:r>
          </w:p>
        </w:tc>
        <w:tc>
          <w:tcPr>
            <w:tcW w:type="dxa" w:w="26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پیام تصمیم</w:t>
            </w:r>
          </w:p>
        </w:tc>
        <w:tc>
          <w:tcPr>
            <w:tcW w:type="dxa" w:w="30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اقدام کنترل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هم‌خوانی مقایسه‌ای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اختلاف ۱۴۰۲ در فایل ۱۴۰۴ و مقدار آغازین ۱۴۰۱</w:t>
            </w:r>
          </w:p>
        </w:tc>
        <w:tc>
          <w:tcPr>
            <w:tcW w:type="dxa" w:w="2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تجمیع بین‌فایلی نباید مبنای رسمی باشد</w:t>
            </w:r>
          </w:p>
        </w:tc>
        <w:tc>
          <w:tcPr>
            <w:tcW w:type="dxa" w:w="30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تطبیق و صورتجلسهٔ مالک داده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واحد ۱۴۰۲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منبع با واحد میلیون ریال</w:t>
            </w:r>
          </w:p>
        </w:tc>
        <w:tc>
          <w:tcPr>
            <w:tcW w:type="dxa" w:w="2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ریسک مقیاس در تحلیل روند</w:t>
            </w:r>
          </w:p>
        </w:tc>
        <w:tc>
          <w:tcPr>
            <w:tcW w:type="dxa" w:w="30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ثبت تبدیل و بازبینی مستقل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لینک بیرونی ۱۴۰۱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۷ رابطهٔ external workbook</w:t>
            </w:r>
          </w:p>
        </w:tc>
        <w:tc>
          <w:tcPr>
            <w:tcW w:type="dxa" w:w="2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ریسک اتکا به فرمول/دادهٔ بیرونی</w:t>
            </w:r>
          </w:p>
        </w:tc>
        <w:tc>
          <w:tcPr>
            <w:tcW w:type="dxa" w:w="30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استفاده از مقدار cached و شواهد منبع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نظر حسابرس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در آرشیو تأیید نشد</w:t>
            </w:r>
          </w:p>
        </w:tc>
        <w:tc>
          <w:tcPr>
            <w:tcW w:type="dxa" w:w="26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نباید نتیجهٔ حسابرسی استنباط شود</w:t>
            </w:r>
          </w:p>
        </w:tc>
        <w:tc>
          <w:tcPr>
            <w:tcW w:type="dxa" w:w="30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دریافت/بررسی رسمی مستقل</w:t>
            </w:r>
          </w:p>
        </w:tc>
      </w:tr>
      <w:tr>
        <w:trPr>
          <w:cantSplit w:val="true"/>
        </w:trPr>
        <w:tc>
          <w:tcPr>
            <w:tcW w:type="dxa" w:w="1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اهرم و نقدینگی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نسبت بدهی/حقوق مالکانه و رشد دارایی</w:t>
            </w:r>
          </w:p>
        </w:tc>
        <w:tc>
          <w:tcPr>
            <w:tcW w:type="dxa" w:w="26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نیازمند پایش دوره‌ای</w:t>
            </w:r>
          </w:p>
        </w:tc>
        <w:tc>
          <w:tcPr>
            <w:tcW w:type="dxa" w:w="30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داشبورد مالک‌دار و آستانه‌های مصوب</w:t>
            </w:r>
          </w:p>
        </w:tc>
      </w:tr>
    </w:tbl>
    <w:p/>
    <w:p>
      <w:r>
        <w:br w:type="page"/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۷. آینده‌پژوهی ۱۴۰۵ تا ۱۴۰۹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چهار سناریوی زیر ابزار گفت‌وگو، حساسیت‌سنجی و آماده‌سازی شواهد هستند؛ نه پیش‌بینی قطعی، نه بودجه و نه توصیهٔ سرمایه‌گذاری. مسیرهای عددی در فایل Excel از فرض‌های زردرنگ تغذیه می‌شوند و هیچ احتمال یا وزن به سناریوها اختصاص داده نشده است.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00"/>
        <w:gridCol w:w="2400"/>
        <w:gridCol w:w="2700"/>
        <w:gridCol w:w="2760"/>
      </w:tblGrid>
      <w:tr>
        <w:trPr>
          <w:tblHeader w:val="true"/>
          <w:cantSplit w:val="true"/>
        </w:trPr>
        <w:tc>
          <w:tcPr>
            <w:tcW w:type="dxa" w:w="15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سناریو</w:t>
            </w:r>
          </w:p>
        </w:tc>
        <w:tc>
          <w:tcPr>
            <w:tcW w:type="dxa" w:w="2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محرک‌های مشاهده</w:t>
            </w:r>
          </w:p>
        </w:tc>
        <w:tc>
          <w:tcPr>
            <w:tcW w:type="dxa" w:w="27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شواهد/دادهٔ لازم</w:t>
            </w:r>
          </w:p>
        </w:tc>
        <w:tc>
          <w:tcPr>
            <w:tcW w:type="dxa" w:w="27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تصمیم یا پاسخ مشروط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پایه</w:t>
            </w:r>
          </w:p>
        </w:tc>
        <w:tc>
          <w:tcPr>
            <w:tcW w:type="dxa" w:w="2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تداوم تقاضا با کیفیت وصول و حاشیه</w:t>
            </w:r>
          </w:p>
        </w:tc>
        <w:tc>
          <w:tcPr>
            <w:tcW w:type="dxa" w:w="27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فروش، وصول، هزینه، حاشیه و SLA</w:t>
            </w:r>
          </w:p>
        </w:tc>
        <w:tc>
          <w:tcPr>
            <w:tcW w:type="dxa" w:w="27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پایش ماهانه و بازبینی فرض‌ها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رشد کنترل‌شده</w:t>
            </w:r>
          </w:p>
        </w:tc>
        <w:tc>
          <w:tcPr>
            <w:tcW w:type="dxa" w:w="2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تقاضای تکرارشونده همراه با ظرفیت و وصول</w:t>
            </w:r>
          </w:p>
        </w:tc>
        <w:tc>
          <w:tcPr>
            <w:tcW w:type="dxa" w:w="27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pipeline، نرخ برد، ظرفیت، قیمت و نقد</w:t>
            </w:r>
          </w:p>
        </w:tc>
        <w:tc>
          <w:tcPr>
            <w:tcW w:type="dxa" w:w="27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گیت تقاضا/حاشیه/وصول پیش از توسعه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فشار حاشیه</w:t>
            </w:r>
          </w:p>
        </w:tc>
        <w:tc>
          <w:tcPr>
            <w:tcW w:type="dxa" w:w="2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افزایش هزینه یا تغییر ترکیب درآمد</w:t>
            </w:r>
          </w:p>
        </w:tc>
        <w:tc>
          <w:tcPr>
            <w:tcW w:type="dxa" w:w="27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تجزیه هزینه، قراردادها، تحلیل مشتری</w:t>
            </w:r>
          </w:p>
        </w:tc>
        <w:tc>
          <w:tcPr>
            <w:tcW w:type="dxa" w:w="27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بازبینی سودآوری واحد/خدمت</w:t>
            </w:r>
          </w:p>
        </w:tc>
      </w:tr>
      <w:tr>
        <w:trPr>
          <w:cantSplit w:val="true"/>
        </w:trPr>
        <w:tc>
          <w:tcPr>
            <w:tcW w:type="dxa" w:w="15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تنش/شوک</w:t>
            </w:r>
          </w:p>
        </w:tc>
        <w:tc>
          <w:tcPr>
            <w:tcW w:type="dxa" w:w="2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افت درآمد، وقفه وصول یا فشار ظرفیت/داده</w:t>
            </w:r>
          </w:p>
        </w:tc>
        <w:tc>
          <w:tcPr>
            <w:tcW w:type="dxa" w:w="27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نقد ۱۳هفته‌ای، تعهدات، ظرفیت و مالک پاسخ</w:t>
            </w:r>
          </w:p>
        </w:tc>
        <w:tc>
          <w:tcPr>
            <w:tcW w:type="dxa" w:w="27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حفاظت نقد، توقف تعهد برگشت‌ناپذیر و بازطراحی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E6F0F8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قاعدهٔ سناریو: </w:t>
            </w:r>
            <w:r>
              <w:rPr>
                <w:rFonts w:ascii="Vazirmatn" w:hAnsi="Vazirmatn" w:cs="Vazirmatn"/>
                <w:sz w:val="20"/>
                <w:rtl w:val="1"/>
              </w:rPr>
              <w:t>مقادیر مالیِ سناریویی با فرمول‌های شفاف ساخته شده‌اند، اما هیچ وزن یا احتمال ندارند. مجمع باید منبع، مالک، دامنهٔ مصوب، آستانهٔ هشدار و تاریخ بازبینی هر ورودی را تعیین کند.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683636"/>
            <wp:docPr id="10" name="Picture 10" descr="شکل ۱۰ — تایم‌لاین پیشنهادیِ حکمرانی، نه برنامهٔ اجرایی مصوب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melin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6836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۱۰ — تایم‌لاین پیشنهادیِ حکمرانی، نه برنامهٔ اجرایی مصوب.</w:t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۸. مدل کمک‌تصمیم‌گیری راهبردی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مدل پیشنهادی چهار مرحله دارد: «مسئله و مالک»، «شواهد و کیفیت»، «گزینه و پیامد»، و «گیت تصمیم و یادگیری». این چینش برای جلوگیری از تصمیم‌گیری بر پایهٔ اعداد ناهماهنگ یا سناریوهای بی‌مالک طراحی شده است.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250"/>
        <w:gridCol w:w="2450"/>
        <w:gridCol w:w="2750"/>
        <w:gridCol w:w="2910"/>
      </w:tblGrid>
      <w:tr>
        <w:trPr>
          <w:tblHeader w:val="true"/>
          <w:cantSplit w:val="true"/>
        </w:trPr>
        <w:tc>
          <w:tcPr>
            <w:tcW w:type="dxa" w:w="12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گام</w:t>
            </w:r>
          </w:p>
        </w:tc>
        <w:tc>
          <w:tcPr>
            <w:tcW w:type="dxa" w:w="24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پرسش مجمع</w:t>
            </w:r>
          </w:p>
        </w:tc>
        <w:tc>
          <w:tcPr>
            <w:tcW w:type="dxa" w:w="27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ورودی حداقلی</w:t>
            </w:r>
          </w:p>
        </w:tc>
        <w:tc>
          <w:tcPr>
            <w:tcW w:type="dxa" w:w="291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خروجی قابل ثبت</w:t>
            </w:r>
          </w:p>
        </w:tc>
      </w:tr>
      <w:tr>
        <w:trPr>
          <w:cantSplit w:val="true"/>
        </w:trPr>
        <w:tc>
          <w:tcPr>
            <w:tcW w:type="dxa" w:w="125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۱. تعریف</w:t>
            </w:r>
          </w:p>
        </w:tc>
        <w:tc>
          <w:tcPr>
            <w:tcW w:type="dxa" w:w="24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تصمیم دقیق چیست و چه کسی پاسخ‌گوست؟</w:t>
            </w:r>
          </w:p>
        </w:tc>
        <w:tc>
          <w:tcPr>
            <w:tcW w:type="dxa" w:w="27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موضوع، افق، مالک</w:t>
            </w:r>
          </w:p>
        </w:tc>
        <w:tc>
          <w:tcPr>
            <w:tcW w:type="dxa" w:w="29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برگهٔ تصمیم با دامنه</w:t>
            </w:r>
          </w:p>
        </w:tc>
      </w:tr>
      <w:tr>
        <w:trPr>
          <w:cantSplit w:val="true"/>
        </w:trPr>
        <w:tc>
          <w:tcPr>
            <w:tcW w:type="dxa" w:w="125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۲. شواهد</w:t>
            </w:r>
          </w:p>
        </w:tc>
        <w:tc>
          <w:tcPr>
            <w:tcW w:type="dxa" w:w="24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کدام رقم/فرض قابل اتکاست و چرا؟</w:t>
            </w:r>
          </w:p>
        </w:tc>
        <w:tc>
          <w:tcPr>
            <w:tcW w:type="dxa" w:w="27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منبع، واحد، کنترل تطبیق</w:t>
            </w:r>
          </w:p>
        </w:tc>
        <w:tc>
          <w:tcPr>
            <w:tcW w:type="dxa" w:w="29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رجیستر شواهد و شکاف‌ها</w:t>
            </w:r>
          </w:p>
        </w:tc>
      </w:tr>
      <w:tr>
        <w:trPr>
          <w:cantSplit w:val="true"/>
        </w:trPr>
        <w:tc>
          <w:tcPr>
            <w:tcW w:type="dxa" w:w="125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۳. گزینه‌ها</w:t>
            </w:r>
          </w:p>
        </w:tc>
        <w:tc>
          <w:tcPr>
            <w:tcW w:type="dxa" w:w="24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در پایه/رشد/فشار/شوک چه می‌کنیم؟</w:t>
            </w:r>
          </w:p>
        </w:tc>
        <w:tc>
          <w:tcPr>
            <w:tcW w:type="dxa" w:w="27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سناریو، محرک، پیامد کیفی</w:t>
            </w:r>
          </w:p>
        </w:tc>
        <w:tc>
          <w:tcPr>
            <w:tcW w:type="dxa" w:w="29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گزینهٔ مشروط و trigger</w:t>
            </w:r>
          </w:p>
        </w:tc>
      </w:tr>
      <w:tr>
        <w:trPr>
          <w:cantSplit w:val="true"/>
        </w:trPr>
        <w:tc>
          <w:tcPr>
            <w:tcW w:type="dxa" w:w="125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۴. گیت</w:t>
            </w:r>
          </w:p>
        </w:tc>
        <w:tc>
          <w:tcPr>
            <w:tcW w:type="dxa" w:w="24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چه چیزی قبل از اجرا باید تأیید شود؟</w:t>
            </w:r>
          </w:p>
        </w:tc>
        <w:tc>
          <w:tcPr>
            <w:tcW w:type="dxa" w:w="27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آستانه، اختیار، تاریخ بازبینی</w:t>
            </w:r>
          </w:p>
        </w:tc>
        <w:tc>
          <w:tcPr>
            <w:tcW w:type="dxa" w:w="29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مصوبه، مسئول و گزارش بازگشت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FF4D9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پیشنهاد اطلاعاتی برای مجمع: </w:t>
            </w:r>
            <w:r>
              <w:rPr>
                <w:rFonts w:ascii="Vazirmatn" w:hAnsi="Vazirmatn" w:cs="Vazirmatn"/>
                <w:sz w:val="20"/>
                <w:rtl w:val="1"/>
              </w:rPr>
              <w:t>دستور دهید پیش از هر اتکای رسمی به سری‌های مقایسه‌ای، یک بستهٔ تطبیق‌شده شامل واحد، ستون‌های تاریخی، صورتجلسهٔ کنترل و وضعیت نظر حسابرس تهیه شود. سپس داشبورد پایش نقد و اهرم با مالک مشخص و چرخهٔ بازبینی فصلی برقرار شود.</w:t>
            </w:r>
          </w:p>
        </w:tc>
      </w:tr>
    </w:tbl>
    <w:p/>
    <w:p>
      <w:r>
        <w:br w:type="page"/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۹. معماری مدل و مرز استنباط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مدل پیشنهادی راننده‌محور است: درآمد از رشد سالانه، سود ناخالص از حاشیهٔ ناخالص، سود عملیاتی از کسر هزینهٔ عملیاتی، سود خالص از کسر بار زیر عملیاتی، و جریان نقد عملیاتی از نسبت CFO به درآمد محاسبه می‌شود. پنج مشاهدهٔ سالانه برای ML، ARIMA، رگرسیون پیش‌بین، احتمال‌گذاری یا فاصلهٔ اطمینان آماری کافی نیست؛ بنابراین مدل غیراحتمالی و کاملاً قابل ردگیری است.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2900"/>
        <w:gridCol w:w="1500"/>
        <w:gridCol w:w="3260"/>
      </w:tblGrid>
      <w:tr>
        <w:trPr>
          <w:tblHeader w:val="true"/>
          <w:cantSplit w:val="true"/>
        </w:trPr>
        <w:tc>
          <w:tcPr>
            <w:tcW w:type="dxa" w:w="17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خروجی</w:t>
            </w:r>
          </w:p>
        </w:tc>
        <w:tc>
          <w:tcPr>
            <w:tcW w:type="dxa" w:w="29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فرمول</w:t>
            </w:r>
          </w:p>
        </w:tc>
        <w:tc>
          <w:tcPr>
            <w:tcW w:type="dxa" w:w="15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وضعیت ادعا</w:t>
            </w:r>
          </w:p>
        </w:tc>
        <w:tc>
          <w:tcPr>
            <w:tcW w:type="dxa" w:w="32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مرز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درآمد</w:t>
            </w:r>
          </w:p>
        </w:tc>
        <w:tc>
          <w:tcPr>
            <w:tcW w:type="dxa" w:w="29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Revenueₜ = Revenueₜ₋₁ × (1 + Growthₜ)</w:t>
            </w:r>
          </w:p>
        </w:tc>
        <w:tc>
          <w:tcPr>
            <w:tcW w:type="dxa" w:w="15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سناریویی</w:t>
            </w:r>
          </w:p>
        </w:tc>
        <w:tc>
          <w:tcPr>
            <w:tcW w:type="dxa" w:w="32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رشد ورودیِ قابل ویرایش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سود ناخالص</w:t>
            </w:r>
          </w:p>
        </w:tc>
        <w:tc>
          <w:tcPr>
            <w:tcW w:type="dxa" w:w="29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Gross Profitₜ = Revenueₜ × Gross Marginₜ</w:t>
            </w:r>
          </w:p>
        </w:tc>
        <w:tc>
          <w:tcPr>
            <w:tcW w:type="dxa" w:w="15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سناریویی</w:t>
            </w:r>
          </w:p>
        </w:tc>
        <w:tc>
          <w:tcPr>
            <w:tcW w:type="dxa" w:w="32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کیفیت قیمت/ترکیب باید آزموده شود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سود عملیاتی</w:t>
            </w:r>
          </w:p>
        </w:tc>
        <w:tc>
          <w:tcPr>
            <w:tcW w:type="dxa" w:w="29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Gross Profitₜ − Operating Expenseₜ</w:t>
            </w:r>
          </w:p>
        </w:tc>
        <w:tc>
          <w:tcPr>
            <w:tcW w:type="dxa" w:w="15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سناریویی</w:t>
            </w:r>
          </w:p>
        </w:tc>
        <w:tc>
          <w:tcPr>
            <w:tcW w:type="dxa" w:w="32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تفکیک ثابت/متغیر موجود نیست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سود خالص</w:t>
            </w:r>
          </w:p>
        </w:tc>
        <w:tc>
          <w:tcPr>
            <w:tcW w:type="dxa" w:w="29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Operating Profitₜ − Below-op Burdenₜ</w:t>
            </w:r>
          </w:p>
        </w:tc>
        <w:tc>
          <w:tcPr>
            <w:tcW w:type="dxa" w:w="15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سناریویی</w:t>
            </w:r>
          </w:p>
        </w:tc>
        <w:tc>
          <w:tcPr>
            <w:tcW w:type="dxa" w:w="32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بار زیر عملیاتی فرضی است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جریان نقد عملیاتی</w:t>
            </w:r>
          </w:p>
        </w:tc>
        <w:tc>
          <w:tcPr>
            <w:tcW w:type="dxa" w:w="29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Revenueₜ × CFO Marginₜ</w:t>
            </w:r>
          </w:p>
        </w:tc>
        <w:tc>
          <w:tcPr>
            <w:tcW w:type="dxa" w:w="15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سناریویی</w:t>
            </w:r>
          </w:p>
        </w:tc>
        <w:tc>
          <w:tcPr>
            <w:tcW w:type="dxa" w:w="32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جایگزین مدل سرمایه در گردش نیست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ترازنامه/نقد پایان</w:t>
            </w:r>
          </w:p>
        </w:tc>
        <w:tc>
          <w:tcPr>
            <w:tcW w:type="dxa" w:w="2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مدل نشده</w:t>
            </w:r>
          </w:p>
        </w:tc>
        <w:tc>
          <w:tcPr>
            <w:tcW w:type="dxa" w:w="15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نیازمند تأیید</w:t>
            </w:r>
          </w:p>
        </w:tc>
        <w:tc>
          <w:tcPr>
            <w:tcW w:type="dxa" w:w="32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capex، بدهی، توزیع و برنامه سرمایه در گردش موجود نیست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05672"/>
            <wp:docPr id="11" name="Picture 11" descr="شکل ۱۱ — درخت محرک ارزش از تقاضا تا جریان نقد عملیاتی؛ ساختار تشخیصی، نه ارزش‌گذاری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value-driver-tree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056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۱۱ — درخت محرک ارزش از تقاضا تا جریان نقد عملیاتی؛ ساختار تشخیصی، نه ارزش‌گذاری.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FF4D9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مرز ارزش‌گذاری و سرمایه‌گذاری: </w:t>
            </w:r>
            <w:r>
              <w:rPr>
                <w:rFonts w:ascii="Vazirmatn" w:hAnsi="Vazirmatn" w:cs="Vazirmatn"/>
                <w:sz w:val="20"/>
                <w:rtl w:val="1"/>
              </w:rPr>
              <w:t>به‌دلیل ماهیت سهامی خاص و نبود دادهٔ تصمیم‌پذیر برای ارزش‌گذاری، هیچ DCF، WACC، قیمت هدف، EPS یا توصیهٔ خرید/فروش ارائه نشده است. این بسته برای تصمیم‌سازی سازمانی است، نه تحلیل اوراق بهادار عمومی.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۱۰. مسیرهای عددی سناریو ۱۴۰۵ تا ۱۴۰۹</w:t>
      </w:r>
    </w:p>
    <w:tbl>
      <w:tblPr>
        <w:tblStyle w:val="TableGrid"/>
        <w:tblW w:type="dxa" w:w="990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550"/>
        <w:gridCol w:w="1400"/>
        <w:gridCol w:w="1400"/>
        <w:gridCol w:w="1350"/>
        <w:gridCol w:w="1400"/>
        <w:gridCol w:w="1400"/>
        <w:gridCol w:w="1400"/>
      </w:tblGrid>
      <w:tr>
        <w:trPr>
          <w:tblHeader w:val="true"/>
          <w:cantSplit w:val="true"/>
        </w:trPr>
        <w:tc>
          <w:tcPr>
            <w:tcW w:type="dxa" w:w="15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سناریو</w:t>
            </w:r>
          </w:p>
        </w:tc>
        <w:tc>
          <w:tcPr>
            <w:tcW w:type="dxa" w:w="1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درآمد ۱۴۰۵</w:t>
            </w:r>
          </w:p>
        </w:tc>
        <w:tc>
          <w:tcPr>
            <w:tcW w:type="dxa" w:w="1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سود خالص ۱۴۰۵</w:t>
            </w:r>
          </w:p>
        </w:tc>
        <w:tc>
          <w:tcPr>
            <w:tcW w:type="dxa" w:w="13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CFO ۱۴۰۵</w:t>
            </w:r>
          </w:p>
        </w:tc>
        <w:tc>
          <w:tcPr>
            <w:tcW w:type="dxa" w:w="1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درآمد ۱۴۰۹</w:t>
            </w:r>
          </w:p>
        </w:tc>
        <w:tc>
          <w:tcPr>
            <w:tcW w:type="dxa" w:w="1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سود خالص ۱۴۰۹</w:t>
            </w:r>
          </w:p>
        </w:tc>
        <w:tc>
          <w:tcPr>
            <w:tcW w:type="dxa" w:w="1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CFO ۱۴۰۹</w:t>
            </w:r>
          </w:p>
        </w:tc>
      </w:tr>
      <w:tr>
        <w:trPr>
          <w:cantSplit w:val="true"/>
        </w:trPr>
        <w:tc>
          <w:tcPr>
            <w:tcW w:type="dxa" w:w="155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پایه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۲٬۰۴۸٫۷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۶۱٫۵</w:t>
            </w:r>
          </w:p>
        </w:tc>
        <w:tc>
          <w:tcPr>
            <w:tcW w:type="dxa" w:w="13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۲۸۶٫۸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۴٬۶۰۶٫۴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۲۰۷٫۳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۶۹۱٫۰</w:t>
            </w:r>
          </w:p>
        </w:tc>
      </w:tr>
      <w:tr>
        <w:trPr>
          <w:cantSplit w:val="true"/>
        </w:trPr>
        <w:tc>
          <w:tcPr>
            <w:tcW w:type="dxa" w:w="155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رشد کنترل‌شده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۲٬۲۳۷٫۸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۱۳۴٫۳</w:t>
            </w:r>
          </w:p>
        </w:tc>
        <w:tc>
          <w:tcPr>
            <w:tcW w:type="dxa" w:w="13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۴۰۲٫۸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۶٬۲۷۸٫۴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۵۹۶٫۵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۱٬۲۵۵٫۷</w:t>
            </w:r>
          </w:p>
        </w:tc>
      </w:tr>
      <w:tr>
        <w:trPr>
          <w:cantSplit w:val="true"/>
        </w:trPr>
        <w:tc>
          <w:tcPr>
            <w:tcW w:type="dxa" w:w="155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فشار حاشیه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۱٬۷۶۵٫۰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(۱۷٫۷)</w:t>
            </w:r>
          </w:p>
        </w:tc>
        <w:tc>
          <w:tcPr>
            <w:tcW w:type="dxa" w:w="13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۱۴۱٫۲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۲٬۵۳۶٫۹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۳۸٫۱</w:t>
            </w:r>
          </w:p>
        </w:tc>
        <w:tc>
          <w:tcPr>
            <w:tcW w:type="dxa" w:w="1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۲۵۳٫۷</w:t>
            </w:r>
          </w:p>
        </w:tc>
      </w:tr>
      <w:tr>
        <w:trPr>
          <w:cantSplit w:val="true"/>
        </w:trPr>
        <w:tc>
          <w:tcPr>
            <w:tcW w:type="dxa" w:w="155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تنش / شوک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۱٬۲۶۰٫۷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(۱۵۱٫۳)</w:t>
            </w:r>
          </w:p>
        </w:tc>
        <w:tc>
          <w:tcPr>
            <w:tcW w:type="dxa" w:w="13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(۱۰۰٫۹)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۱٬۴۰۹٫۲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۰٫۰</w:t>
            </w:r>
          </w:p>
        </w:tc>
        <w:tc>
          <w:tcPr>
            <w:tcW w:type="dxa" w:w="1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۱۱۲٫۷</w:t>
            </w:r>
          </w:p>
        </w:tc>
      </w:tr>
    </w:tbl>
    <w:p/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جدول ۳ — خروجی مدل در دو نقطهٔ افق؛ همهٔ ارقام میلیارد ریال و سناریویی‌اند.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220363"/>
            <wp:docPr id="12" name="Picture 12" descr="شکل ۱۲ — تاریخ درآمد و چهار مسیر سناریویی؛ ناحیهٔ رنگی دامنهٔ فرضی است، نه فاصلهٔ اطمینان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ecast-envelope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2203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۱۲ — تاریخ درآمد و چهار مسیر سناریویی؛ ناحیهٔ رنگی دامنهٔ فرضی است، نه فاصلهٔ اطمینان.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113018"/>
            <wp:docPr id="13" name="Picture 13" descr="شکل ۱۳ — مقایسهٔ حاشیه خالص و نسبت CFO به درآمد در ابتدا و انتهای افق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enario-outcomes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11301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۱۳ — مقایسهٔ حاشیه خالص و نسبت CFO به درآمد در ابتدا و انتهای افق.</w:t>
      </w:r>
    </w:p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نمونهٔ هشدار: اگر CAGR تاریخی ۴۲٫۹٪ بدون تعدیل تا ۱۴۰۹ امتداد یابد، درآمدی بسیار بزرگ و احتمالاً گمراه‌کننده تولید می‌شود. مدل حاضر عمداً رشد را در مسیرهای پایه و رشد کنترل‌شده کاهش می‌دهد و سناریوهای فشار/تنش را جدا نگه می‌دارد.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CE8E8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هشدار مقیاس اسمی: </w:t>
            </w:r>
            <w:r>
              <w:rPr>
                <w:rFonts w:ascii="Vazirmatn" w:hAnsi="Vazirmatn" w:cs="Vazirmatn"/>
                <w:sz w:val="20"/>
                <w:rtl w:val="1"/>
              </w:rPr>
              <w:t>تمام ارقام ریالی اسمی‌اند. بدون سری deflator کنترل‌شده، رشد درآمد را نمی‌توان رشد واقعی حجم یا قدرت اقتصادی دانست؛ نرخ‌های محیطی نیز وارد مدل نشده‌اند.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۱۱. حساسیت، نقطه شکست و آزمون تنش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327709"/>
            <wp:docPr id="14" name="Picture 14" descr="شکل ۱۴ — حساسیت سود خالص ۱۴۰۵ به حاشیهٔ ناخالص و هزینهٔ عملیاتی؛ بار زیر عملیاتی ۳٪ ثابت است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ensitivity-heatmap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327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۱۴ — حساسیت سود خالص ۱۴۰۵ به حاشیهٔ ناخالص و هزینهٔ عملیاتی؛ بار زیر عملیاتی ۳٪ ثابت است.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1900"/>
        <w:gridCol w:w="4460"/>
      </w:tblGrid>
      <w:tr>
        <w:trPr>
          <w:tblHeader w:val="true"/>
          <w:cantSplit w:val="true"/>
        </w:trPr>
        <w:tc>
          <w:tcPr>
            <w:tcW w:type="dxa" w:w="30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نقطه شکست</w:t>
            </w:r>
          </w:p>
        </w:tc>
        <w:tc>
          <w:tcPr>
            <w:tcW w:type="dxa" w:w="19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مقدار</w:t>
            </w:r>
          </w:p>
        </w:tc>
        <w:tc>
          <w:tcPr>
            <w:tcW w:type="dxa" w:w="44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تفسیر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حاشیه ناخالص سر‌به‌سر پایه ۱۴۰۵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۳۵٫۰٪</w:t>
            </w:r>
          </w:p>
        </w:tc>
        <w:tc>
          <w:tcPr>
            <w:tcW w:type="dxa" w:w="44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برابر Opex + بار زیر عملیاتی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حاشیه ایمنی سود خالص پایه ۱۴۰۵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۳٫۰٪</w:t>
            </w:r>
          </w:p>
        </w:tc>
        <w:tc>
          <w:tcPr>
            <w:tcW w:type="dxa" w:w="44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افت حدود این مقدار سود را به صفر نزدیک می‌کند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حاشیه خالص لازم پس از شوک ۱۵٪ درآمد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۳٫۱٪</w:t>
            </w:r>
          </w:p>
        </w:tc>
        <w:tc>
          <w:tcPr>
            <w:tcW w:type="dxa" w:w="44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برای حفظ سود خالص ۱۴۰۴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افزایش لازم نسبت به حاشیه خالص ۱۴۰۴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۰٫۵٪</w:t>
            </w:r>
          </w:p>
        </w:tc>
        <w:tc>
          <w:tcPr>
            <w:tcW w:type="dxa" w:w="44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حدود ۰٫۴۷ واحد درصد</w:t>
            </w:r>
          </w:p>
        </w:tc>
      </w:tr>
      <w:tr>
        <w:trPr>
          <w:cantSplit w:val="true"/>
        </w:trPr>
        <w:tc>
          <w:tcPr>
            <w:tcW w:type="dxa" w:w="3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نقد پیش از سرمایه‌گذاری/تأمین مالی در تنش ۱۴۰۵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۲۰۱٫۸</w:t>
            </w:r>
          </w:p>
        </w:tc>
        <w:tc>
          <w:tcPr>
            <w:tcW w:type="dxa" w:w="44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نقد ۱۴۰۴ + CFO سناریویی؛ نقد پایان نیست</w:t>
            </w:r>
          </w:p>
        </w:tc>
      </w:tr>
    </w:tbl>
    <w:p/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059345"/>
            <wp:docPr id="15" name="Picture 15" descr="شکل ۱۵ — مسیرهای جریان نقد عملیاتی؛ نقد پایان دوره به علت نبود جریان‌های سرمایه‌گذاری/تأمین مالی مدل نشده است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sh-stress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0593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۱۵ — مسیرهای جریان نقد عملیاتی؛ نقد پایان دوره به علت نبود جریان‌های سرمایه‌گذاری/تأمین مالی مدل نشده است.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E6F0F8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چرا مونت‌کارلو خاموش است؟: </w:t>
            </w:r>
            <w:r>
              <w:rPr>
                <w:rFonts w:ascii="Vazirmatn" w:hAnsi="Vazirmatn" w:cs="Vazirmatn"/>
                <w:sz w:val="20"/>
                <w:rtl w:val="1"/>
              </w:rPr>
              <w:t>فقط پنج مشاهدهٔ سالانه، چهار نرخ رشد و هیچ توزیع یا ماتریس هم‌بستگیِ مصوب وجود ندارد. فعال‌سازی شبیه‌سازی پیش از تعیین دامنه‌ها، توزیع‌ها و هم‌بستگی توسط مالکان داده، دقت کاذب می‌سازد.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۱۲. آینده‌های ۲×۲، STEEP و نشانه‌های پیش‌نگر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166690"/>
            <wp:docPr id="16" name="Picture 16" descr="شکل ۱۶ — چهار آینده بر پایهٔ سرعت پذیرش و تاب‌آوری نقد/اجرا؛ بدون تخصیص احتمال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enario-axes-signposts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16669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۱۶ — چهار آینده بر پایهٔ سرعت پذیرش و تاب‌آوری نقد/اجرا؛ بدون تخصیص احتمال.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900"/>
        <w:gridCol w:w="1300"/>
        <w:gridCol w:w="1300"/>
        <w:gridCol w:w="4860"/>
      </w:tblGrid>
      <w:tr>
        <w:trPr>
          <w:tblHeader w:val="true"/>
          <w:cantSplit w:val="true"/>
        </w:trPr>
        <w:tc>
          <w:tcPr>
            <w:tcW w:type="dxa" w:w="19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سناریوی آینده</w:t>
            </w:r>
          </w:p>
        </w:tc>
        <w:tc>
          <w:tcPr>
            <w:tcW w:type="dxa" w:w="13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پذیرش</w:t>
            </w:r>
          </w:p>
        </w:tc>
        <w:tc>
          <w:tcPr>
            <w:tcW w:type="dxa" w:w="13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تاب‌آوری</w:t>
            </w:r>
          </w:p>
        </w:tc>
        <w:tc>
          <w:tcPr>
            <w:tcW w:type="dxa" w:w="48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موضع راهبردی</w:t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هستهٔ مقاوم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کند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قوی</w:t>
            </w:r>
          </w:p>
        </w:tc>
        <w:tc>
          <w:tcPr>
            <w:tcW w:type="dxa" w:w="48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تمرکز بر خدمات سودده، اتوماسیون و حفظ اختیار توسعه</w:t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سکوی دادهٔ قابل‌مقیاس</w:t>
            </w:r>
          </w:p>
        </w:tc>
        <w:tc>
          <w:tcPr>
            <w:tcW w:type="dxa" w:w="1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سریع</w:t>
            </w:r>
          </w:p>
        </w:tc>
        <w:tc>
          <w:tcPr>
            <w:tcW w:type="dxa" w:w="1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قوی</w:t>
            </w:r>
          </w:p>
        </w:tc>
        <w:tc>
          <w:tcPr>
            <w:tcW w:type="dxa" w:w="48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مقیاس مرحله‌ای پس از عبور هم‌زمان از گیت تقاضا، حاشیه، وصول و کیفیت</w:t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فشردگی دوگانه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کند</w:t>
            </w:r>
          </w:p>
        </w:tc>
        <w:tc>
          <w:tcPr>
            <w:tcW w:type="dxa" w:w="1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محدود</w:t>
            </w:r>
          </w:p>
        </w:tc>
        <w:tc>
          <w:tcPr>
            <w:tcW w:type="dxa" w:w="48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حفاظت از نقد، توقف تعهد برگشت‌ناپذیر و بازطراحی خدمات کم‌بازده</w:t>
            </w:r>
          </w:p>
        </w:tc>
      </w:tr>
      <w:tr>
        <w:trPr>
          <w:cantSplit w:val="true"/>
        </w:trPr>
        <w:tc>
          <w:tcPr>
            <w:tcW w:type="dxa" w:w="19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رشد بی‌نقد</w:t>
            </w:r>
          </w:p>
        </w:tc>
        <w:tc>
          <w:tcPr>
            <w:tcW w:type="dxa" w:w="1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سریع</w:t>
            </w:r>
          </w:p>
        </w:tc>
        <w:tc>
          <w:tcPr>
            <w:tcW w:type="dxa" w:w="1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محدود</w:t>
            </w:r>
          </w:p>
        </w:tc>
        <w:tc>
          <w:tcPr>
            <w:tcW w:type="dxa" w:w="48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گیت وصول پیش از توسعه، مرحله‌بندی قرارداد و سقف ظرفیت</w:t>
            </w:r>
          </w:p>
        </w:tc>
      </w:tr>
    </w:tbl>
    <w:p/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اسکن STEEP/PESTLE هشت حوزهٔ عمده را برای آزمون فصلی نگه می‌دارد: اعتماد و مهارت کاربران، API/هوش مصنوعی/رهگیری، تورم هزینه و کیفیت وصول، نیاز به دادهٔ پایداری، حمایت یا الزام حاکمیتی، مالکیت و محرمانگی داده، رقابت، و ظرفیت اجرا.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400"/>
        <w:gridCol w:w="3300"/>
        <w:gridCol w:w="3150"/>
        <w:gridCol w:w="1510"/>
      </w:tblGrid>
      <w:tr>
        <w:trPr>
          <w:tblHeader w:val="true"/>
          <w:cantSplit w:val="true"/>
        </w:trPr>
        <w:tc>
          <w:tcPr>
            <w:tcW w:type="dxa" w:w="1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حوزه</w:t>
            </w:r>
          </w:p>
        </w:tc>
        <w:tc>
          <w:tcPr>
            <w:tcW w:type="dxa" w:w="33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نشانهٔ پیش‌نگر</w:t>
            </w:r>
          </w:p>
        </w:tc>
        <w:tc>
          <w:tcPr>
            <w:tcW w:type="dxa" w:w="31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قاعدهٔ ماشه</w:t>
            </w:r>
          </w:p>
        </w:tc>
        <w:tc>
          <w:tcPr>
            <w:tcW w:type="dxa" w:w="151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مالک پیشنهادی</w:t>
            </w:r>
          </w:p>
        </w:tc>
      </w:tr>
      <w:tr>
        <w:trPr>
          <w:cantSplit w:val="true"/>
        </w:trPr>
        <w:tc>
          <w:tcPr>
            <w:tcW w:type="dxa" w:w="14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تقاضا</w:t>
            </w:r>
          </w:p>
        </w:tc>
        <w:tc>
          <w:tcPr>
            <w:tcW w:type="dxa" w:w="3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pipeline واجد شرایط، نرخ برد و سفارش تکراری</w:t>
            </w:r>
          </w:p>
        </w:tc>
        <w:tc>
          <w:tcPr>
            <w:tcW w:type="dxa" w:w="31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خروج از باند مصوب در دو دوره متوالی</w:t>
            </w:r>
          </w:p>
        </w:tc>
        <w:tc>
          <w:tcPr>
            <w:tcW w:type="dxa" w:w="15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تجاری</w:t>
            </w:r>
          </w:p>
        </w:tc>
      </w:tr>
      <w:tr>
        <w:trPr>
          <w:cantSplit w:val="true"/>
        </w:trPr>
        <w:tc>
          <w:tcPr>
            <w:tcW w:type="dxa" w:w="14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قیمت/ترکیب</w:t>
            </w:r>
          </w:p>
        </w:tc>
        <w:tc>
          <w:tcPr>
            <w:tcW w:type="dxa" w:w="3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تخفیف و سهم خدمات کم‌حاشیه</w:t>
            </w:r>
          </w:p>
        </w:tc>
        <w:tc>
          <w:tcPr>
            <w:tcW w:type="dxa" w:w="31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افت حاشیه بیش از دامنهٔ مصوب</w:t>
            </w:r>
          </w:p>
        </w:tc>
        <w:tc>
          <w:tcPr>
            <w:tcW w:type="dxa" w:w="15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مالی/تجاری</w:t>
            </w:r>
          </w:p>
        </w:tc>
      </w:tr>
      <w:tr>
        <w:trPr>
          <w:cantSplit w:val="true"/>
        </w:trPr>
        <w:tc>
          <w:tcPr>
            <w:tcW w:type="dxa" w:w="14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وصول</w:t>
            </w:r>
          </w:p>
        </w:tc>
        <w:tc>
          <w:tcPr>
            <w:tcW w:type="dxa" w:w="3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مطالبات سررسیدگذشته، DSO و شروط پرداخت</w:t>
            </w:r>
          </w:p>
        </w:tc>
        <w:tc>
          <w:tcPr>
            <w:tcW w:type="dxa" w:w="31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نقض کف نقد یا سقف مطالبات</w:t>
            </w:r>
          </w:p>
        </w:tc>
        <w:tc>
          <w:tcPr>
            <w:tcW w:type="dxa" w:w="15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مالی</w:t>
            </w:r>
          </w:p>
        </w:tc>
      </w:tr>
      <w:tr>
        <w:trPr>
          <w:cantSplit w:val="true"/>
        </w:trPr>
        <w:tc>
          <w:tcPr>
            <w:tcW w:type="dxa" w:w="14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ظرفیت</w:t>
            </w:r>
          </w:p>
        </w:tc>
        <w:tc>
          <w:tcPr>
            <w:tcW w:type="dxa" w:w="3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backlog، بار تیم، زمان تحویل و SLA</w:t>
            </w:r>
          </w:p>
        </w:tc>
        <w:tc>
          <w:tcPr>
            <w:tcW w:type="dxa" w:w="31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عبور هم‌زمان backlog و خطا از حدود مصوب</w:t>
            </w:r>
          </w:p>
        </w:tc>
        <w:tc>
          <w:tcPr>
            <w:tcW w:type="dxa" w:w="15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عملیات</w:t>
            </w:r>
          </w:p>
        </w:tc>
      </w:tr>
      <w:tr>
        <w:trPr>
          <w:cantSplit w:val="true"/>
        </w:trPr>
        <w:tc>
          <w:tcPr>
            <w:tcW w:type="dxa" w:w="14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کیفیت داده</w:t>
            </w:r>
          </w:p>
        </w:tc>
        <w:tc>
          <w:tcPr>
            <w:tcW w:type="dxa" w:w="33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اقلام بدون lineage، اختلاف تطبیق و بازکاری</w:t>
            </w:r>
          </w:p>
        </w:tc>
        <w:tc>
          <w:tcPr>
            <w:tcW w:type="dxa" w:w="315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هر مغایرت بااهمیتِ بدون مالک/موعد</w:t>
            </w:r>
          </w:p>
        </w:tc>
        <w:tc>
          <w:tcPr>
            <w:tcW w:type="dxa" w:w="15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مالک داده</w:t>
            </w:r>
          </w:p>
        </w:tc>
      </w:tr>
      <w:tr>
        <w:trPr>
          <w:cantSplit w:val="true"/>
        </w:trPr>
        <w:tc>
          <w:tcPr>
            <w:tcW w:type="dxa" w:w="14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اهرم</w:t>
            </w:r>
          </w:p>
        </w:tc>
        <w:tc>
          <w:tcPr>
            <w:tcW w:type="dxa" w:w="33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تعهد جدید و سررسید کوتاه‌مدت</w:t>
            </w:r>
          </w:p>
        </w:tc>
        <w:tc>
          <w:tcPr>
            <w:tcW w:type="dxa" w:w="315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عبور از سقف مصوب یا روند صعودی چنددوره‌ای</w:t>
            </w:r>
          </w:p>
        </w:tc>
        <w:tc>
          <w:tcPr>
            <w:tcW w:type="dxa" w:w="15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مالی/هیئت‌مدیره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FFF4D9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سیگنال‌های محیطی رسمی: </w:t>
            </w:r>
            <w:r>
              <w:rPr>
                <w:rFonts w:ascii="Vazirmatn" w:hAnsi="Vazirmatn" w:cs="Vazirmatn"/>
                <w:sz w:val="20"/>
                <w:rtl w:val="1"/>
              </w:rPr>
              <w:t>گذار GS1 به 2D تا ۲۰۲۷، GS1 Digital Link، مسیر گذرنامهٔ دیجیتال محصول اتحادیهٔ اروپا و نمایهٔ اقتصاد کلان ایران در IMF، فقط برای قاب‌بندی آینده‌پژوهی ثبت شده‌اند. هیچ عددی از این منابع وارد مدل مالی نشده است.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۱۳. گزینه‌های بدون پشیمانی، اختیارهای واقعی و Stage-Gate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3327709"/>
            <wp:docPr id="17" name="Picture 17" descr="شکل ۱۷ — مسیر شش‌گیتی از اتکاپذیری داده تا بازبینی؛ رشد درآمد به‌تنهایی مجوز مقیاس نیست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tage-gate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33277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۱۷ — مسیر شش‌گیتی از اتکاپذیری داده تا بازبینی؛ رشد درآمد به‌تنهایی مجوز مقیاس نیست.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700"/>
        <w:gridCol w:w="4100"/>
        <w:gridCol w:w="3560"/>
      </w:tblGrid>
      <w:tr>
        <w:trPr>
          <w:tblHeader w:val="true"/>
          <w:cantSplit w:val="true"/>
        </w:trPr>
        <w:tc>
          <w:tcPr>
            <w:tcW w:type="dxa" w:w="17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گیت</w:t>
            </w:r>
          </w:p>
        </w:tc>
        <w:tc>
          <w:tcPr>
            <w:tcW w:type="dxa" w:w="41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پرسش تصمیم</w:t>
            </w:r>
          </w:p>
        </w:tc>
        <w:tc>
          <w:tcPr>
            <w:tcW w:type="dxa" w:w="35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شواهد لازم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G0 — اتکاپذیری</w:t>
            </w:r>
          </w:p>
        </w:tc>
        <w:tc>
          <w:tcPr>
            <w:tcW w:type="dxa" w:w="41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آیا داده قابل ردیابی و تطبیق است؟</w:t>
            </w:r>
          </w:p>
        </w:tc>
        <w:tc>
          <w:tcPr>
            <w:tcW w:type="dxa" w:w="35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lineage، تطبیق، مالک و وضعیت حسابرس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G1 — مسئله/تقاضا</w:t>
            </w:r>
          </w:p>
        </w:tc>
        <w:tc>
          <w:tcPr>
            <w:tcW w:type="dxa" w:w="41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آیا نیاز واقعی، تکرارشونده و قابل پرداخت وجود دارد؟</w:t>
            </w:r>
          </w:p>
        </w:tc>
        <w:tc>
          <w:tcPr>
            <w:tcW w:type="dxa" w:w="35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مشتری، استفاده، نرخ برد و willingness-to-pay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G2 — اقتصاد پایلوت</w:t>
            </w:r>
          </w:p>
        </w:tc>
        <w:tc>
          <w:tcPr>
            <w:tcW w:type="dxa" w:w="41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آیا حاشیه و مصرف نقد قابل دفاع است؟</w:t>
            </w:r>
          </w:p>
        </w:tc>
        <w:tc>
          <w:tcPr>
            <w:tcW w:type="dxa" w:w="35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هزینه خدمت، وصول، ظرفیت و SLA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G3 — آمادگی مقیاس</w:t>
            </w:r>
          </w:p>
        </w:tc>
        <w:tc>
          <w:tcPr>
            <w:tcW w:type="dxa" w:w="41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آیا رشد بدون افت نقد و کیفیت ممکن است؟</w:t>
            </w:r>
          </w:p>
        </w:tc>
        <w:tc>
          <w:tcPr>
            <w:tcW w:type="dxa" w:w="35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cash conversion، ظرفیت، ریسک و تمرکز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G4 — تخصیص سبد</w:t>
            </w:r>
          </w:p>
        </w:tc>
        <w:tc>
          <w:tcPr>
            <w:tcW w:type="dxa" w:w="41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آیا گزینه نسبت به سایر گزینه‌ها اولویت دارد؟</w:t>
            </w:r>
          </w:p>
        </w:tc>
        <w:tc>
          <w:tcPr>
            <w:tcW w:type="dxa" w:w="35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امتیاز وزنی، سناریو و ارزش اختیار</w:t>
            </w:r>
          </w:p>
        </w:tc>
      </w:tr>
      <w:tr>
        <w:trPr>
          <w:cantSplit w:val="true"/>
        </w:trPr>
        <w:tc>
          <w:tcPr>
            <w:tcW w:type="dxa" w:w="17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G5 — بازبینی</w:t>
            </w:r>
          </w:p>
        </w:tc>
        <w:tc>
          <w:tcPr>
            <w:tcW w:type="dxa" w:w="41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آیا فرض‌ها هنوز معتبرند؟</w:t>
            </w:r>
          </w:p>
        </w:tc>
        <w:tc>
          <w:tcPr>
            <w:tcW w:type="dxa" w:w="35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signpostها، انحراف‌ها و درس‌آموخته‌ها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500"/>
        <w:gridCol w:w="1900"/>
        <w:gridCol w:w="1200"/>
        <w:gridCol w:w="2760"/>
      </w:tblGrid>
      <w:tr>
        <w:trPr>
          <w:tblHeader w:val="true"/>
          <w:cantSplit w:val="true"/>
        </w:trPr>
        <w:tc>
          <w:tcPr>
            <w:tcW w:type="dxa" w:w="35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گزینه</w:t>
            </w:r>
          </w:p>
        </w:tc>
        <w:tc>
          <w:tcPr>
            <w:tcW w:type="dxa" w:w="19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طبقه</w:t>
            </w:r>
          </w:p>
        </w:tc>
        <w:tc>
          <w:tcPr>
            <w:tcW w:type="dxa" w:w="12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گیت</w:t>
            </w:r>
          </w:p>
        </w:tc>
        <w:tc>
          <w:tcPr>
            <w:tcW w:type="dxa" w:w="27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وضعیت اولیه</w:t>
            </w:r>
          </w:p>
        </w:tc>
      </w:tr>
      <w:tr>
        <w:trPr>
          <w:cantSplit w:val="true"/>
        </w:trPr>
        <w:tc>
          <w:tcPr>
            <w:tcW w:type="dxa" w:w="35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تطبیق داده و حاکمیت ادعا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بدون پشیمانی</w:t>
            </w:r>
          </w:p>
        </w:tc>
        <w:tc>
          <w:tcPr>
            <w:tcW w:type="dxa" w:w="12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G0</w:t>
            </w:r>
          </w:p>
        </w:tc>
        <w:tc>
          <w:tcPr>
            <w:tcW w:type="dxa" w:w="27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اجرای فوری پیشنهادی</w:t>
            </w:r>
          </w:p>
        </w:tc>
      </w:tr>
      <w:tr>
        <w:trPr>
          <w:cantSplit w:val="true"/>
        </w:trPr>
        <w:tc>
          <w:tcPr>
            <w:tcW w:type="dxa" w:w="35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پیش‌بینی گردان ۱۳هفته‌ای نقد و وصول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بدون پشیمانی</w:t>
            </w:r>
          </w:p>
        </w:tc>
        <w:tc>
          <w:tcPr>
            <w:tcW w:type="dxa" w:w="12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G0/G2</w:t>
            </w:r>
          </w:p>
        </w:tc>
        <w:tc>
          <w:tcPr>
            <w:tcW w:type="dxa" w:w="27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اجرای فوری پیشنهادی</w:t>
            </w:r>
          </w:p>
        </w:tc>
      </w:tr>
      <w:tr>
        <w:trPr>
          <w:cantSplit w:val="true"/>
        </w:trPr>
        <w:tc>
          <w:tcPr>
            <w:tcW w:type="dxa" w:w="35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اقتصاد واحد خدمت/مشتری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پیش‌نیاز</w:t>
            </w:r>
          </w:p>
        </w:tc>
        <w:tc>
          <w:tcPr>
            <w:tcW w:type="dxa" w:w="12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G2</w:t>
            </w:r>
          </w:p>
        </w:tc>
        <w:tc>
          <w:tcPr>
            <w:tcW w:type="dxa" w:w="27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پیش‌نیاز سرمایه‌گذاری</w:t>
            </w:r>
          </w:p>
        </w:tc>
      </w:tr>
      <w:tr>
        <w:trPr>
          <w:cantSplit w:val="true"/>
        </w:trPr>
        <w:tc>
          <w:tcPr>
            <w:tcW w:type="dxa" w:w="35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پایلوت خدمت دیجیتال/API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اختیار واقعی</w:t>
            </w:r>
          </w:p>
        </w:tc>
        <w:tc>
          <w:tcPr>
            <w:tcW w:type="dxa" w:w="12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G1/G2</w:t>
            </w:r>
          </w:p>
        </w:tc>
        <w:tc>
          <w:tcPr>
            <w:tcW w:type="dxa" w:w="27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محدود و قابل توقف</w:t>
            </w:r>
          </w:p>
        </w:tc>
      </w:tr>
      <w:tr>
        <w:trPr>
          <w:cantSplit w:val="true"/>
        </w:trPr>
        <w:tc>
          <w:tcPr>
            <w:tcW w:type="dxa" w:w="35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توسعهٔ عمدهٔ ظرفیت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مشروط</w:t>
            </w:r>
          </w:p>
        </w:tc>
        <w:tc>
          <w:tcPr>
            <w:tcW w:type="dxa" w:w="12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G3</w:t>
            </w:r>
          </w:p>
        </w:tc>
        <w:tc>
          <w:tcPr>
            <w:tcW w:type="dxa" w:w="27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شواهد فعلی ناکافی</w:t>
            </w:r>
          </w:p>
        </w:tc>
      </w:tr>
      <w:tr>
        <w:trPr>
          <w:cantSplit w:val="true"/>
        </w:trPr>
        <w:tc>
          <w:tcPr>
            <w:tcW w:type="dxa" w:w="35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تعهد مالی برگشت‌ناپذیر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تعویق</w:t>
            </w:r>
          </w:p>
        </w:tc>
        <w:tc>
          <w:tcPr>
            <w:tcW w:type="dxa" w:w="12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G3/G4</w:t>
            </w:r>
          </w:p>
        </w:tc>
        <w:tc>
          <w:tcPr>
            <w:tcW w:type="dxa" w:w="27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تا تأیید نقد و سناریو</w:t>
            </w:r>
          </w:p>
        </w:tc>
      </w:tr>
    </w:tbl>
    <w:p/>
    <w:p>
      <w:pPr>
        <w:jc w:val="right"/>
        <w:bidi w:val="1"/>
      </w:pPr>
      <w:r>
        <w:rPr>
          <w:rFonts w:ascii="Vazirmatn" w:hAnsi="Vazirmatn" w:cs="Vazirmatn"/>
          <w:b w:val="0"/>
          <w:rtl w:val="1"/>
        </w:rPr>
        <w:t>گزینه‌های بدون پشیمانی عبارت‌اند از: بستن رجیستر تطبیق، پیش‌بینی گردان ۱۳هفته‌ای نقد، اقتصاد واحد خدمت/مشتری، قراردادهای مرحله‌ای با نقاط پرداخت، داشبورد تقاضا–حاشیه–وصول–ظرفیت، دفتر فرض‌ها و تمرین فصلی سناریو. برای پایلوت دیجیتال/API، توسعه ظرفیت، تعویق، کوچک‌سازی یا خروج، ارزش اختیار و برگشت‌پذیری باید صریحاً سنجیده شود.</w:t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۱۴. مسیر اجرا و یادگیری ۱۴۰۵ تا ۱۴۰۹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903999" cy="2683636"/>
            <wp:docPr id="18" name="Picture 18" descr="شکل ۱۸ — مسیر پنج‌سالهٔ پیشنهادی با گیت و بازبینی؛ برنامهٔ اجرایی مصوب نیست." title="نمودار گزارش مجمع ۱۴۰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imeline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03999" cy="268363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200"/>
        <w:jc w:val="center"/>
        <w:bidi w:val="1"/>
      </w:pPr>
      <w:r>
        <w:rPr>
          <w:rFonts w:ascii="Vazirmatn" w:hAnsi="Vazirmatn" w:cs="Vazirmatn"/>
          <w:i/>
          <w:color w:val="5A6978"/>
          <w:sz w:val="17"/>
          <w:rtl w:val="1"/>
        </w:rPr>
        <w:t>شکل ۱۸ — مسیر پنج‌سالهٔ پیشنهادی با گیت و بازبینی؛ برنامهٔ اجرایی مصوب نیست.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1100"/>
        <w:gridCol w:w="3700"/>
        <w:gridCol w:w="1500"/>
        <w:gridCol w:w="3060"/>
      </w:tblGrid>
      <w:tr>
        <w:trPr>
          <w:tblHeader w:val="true"/>
          <w:cantSplit w:val="true"/>
        </w:trPr>
        <w:tc>
          <w:tcPr>
            <w:tcW w:type="dxa" w:w="11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سال</w:t>
            </w:r>
          </w:p>
        </w:tc>
        <w:tc>
          <w:tcPr>
            <w:tcW w:type="dxa" w:w="37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تمرکز پیشنهادی</w:t>
            </w:r>
          </w:p>
        </w:tc>
        <w:tc>
          <w:tcPr>
            <w:tcW w:type="dxa" w:w="15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گیت غالب</w:t>
            </w:r>
          </w:p>
        </w:tc>
        <w:tc>
          <w:tcPr>
            <w:tcW w:type="dxa" w:w="30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خروجی قابل ثبت</w:t>
            </w:r>
          </w:p>
        </w:tc>
      </w:tr>
      <w:tr>
        <w:trPr>
          <w:cantSplit w:val="true"/>
        </w:trPr>
        <w:tc>
          <w:tcPr>
            <w:tcW w:type="dxa" w:w="11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۱۴۰۵</w:t>
            </w:r>
          </w:p>
        </w:tc>
        <w:tc>
          <w:tcPr>
            <w:tcW w:type="dxa" w:w="37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تطبیق داده، مبنا، نقد و پایلوت محدود</w:t>
            </w:r>
          </w:p>
        </w:tc>
        <w:tc>
          <w:tcPr>
            <w:tcW w:type="dxa" w:w="15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G0</w:t>
            </w:r>
          </w:p>
        </w:tc>
        <w:tc>
          <w:tcPr>
            <w:tcW w:type="dxa" w:w="30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بسته شواهد + مدل نقد + KPI</w:t>
            </w:r>
          </w:p>
        </w:tc>
      </w:tr>
      <w:tr>
        <w:trPr>
          <w:cantSplit w:val="true"/>
        </w:trPr>
        <w:tc>
          <w:tcPr>
            <w:tcW w:type="dxa" w:w="11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۱۴۰۶</w:t>
            </w:r>
          </w:p>
        </w:tc>
        <w:tc>
          <w:tcPr>
            <w:tcW w:type="dxa" w:w="37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آزمون تقاضا، قیمت، هزینه و اقتصاد واحد</w:t>
            </w:r>
          </w:p>
        </w:tc>
        <w:tc>
          <w:tcPr>
            <w:tcW w:type="dxa" w:w="15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G1/G2</w:t>
            </w:r>
          </w:p>
        </w:tc>
        <w:tc>
          <w:tcPr>
            <w:tcW w:type="dxa" w:w="30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نتیجه پایلوت + قرارداد مرحله‌ای</w:t>
            </w:r>
          </w:p>
        </w:tc>
      </w:tr>
      <w:tr>
        <w:trPr>
          <w:cantSplit w:val="true"/>
        </w:trPr>
        <w:tc>
          <w:tcPr>
            <w:tcW w:type="dxa" w:w="11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۱۴۰۷</w:t>
            </w:r>
          </w:p>
        </w:tc>
        <w:tc>
          <w:tcPr>
            <w:tcW w:type="dxa" w:w="37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مقیاس انتخابی پس از عبور نقد و کیفیت</w:t>
            </w:r>
          </w:p>
        </w:tc>
        <w:tc>
          <w:tcPr>
            <w:tcW w:type="dxa" w:w="15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G3</w:t>
            </w:r>
          </w:p>
        </w:tc>
        <w:tc>
          <w:tcPr>
            <w:tcW w:type="dxa" w:w="30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ظرفیت مرحله‌ای + SLA</w:t>
            </w:r>
          </w:p>
        </w:tc>
      </w:tr>
      <w:tr>
        <w:trPr>
          <w:cantSplit w:val="true"/>
        </w:trPr>
        <w:tc>
          <w:tcPr>
            <w:tcW w:type="dxa" w:w="11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۱۴۰۸</w:t>
            </w:r>
          </w:p>
        </w:tc>
        <w:tc>
          <w:tcPr>
            <w:tcW w:type="dxa" w:w="37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تنوع‌بخشی، تست شوک و بازتوازن سبد</w:t>
            </w:r>
          </w:p>
        </w:tc>
        <w:tc>
          <w:tcPr>
            <w:tcW w:type="dxa" w:w="15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G4</w:t>
            </w:r>
          </w:p>
        </w:tc>
        <w:tc>
          <w:tcPr>
            <w:tcW w:type="dxa" w:w="30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تصمیم تخصیص/تعویق/خروج</w:t>
            </w:r>
          </w:p>
        </w:tc>
      </w:tr>
      <w:tr>
        <w:trPr>
          <w:cantSplit w:val="true"/>
        </w:trPr>
        <w:tc>
          <w:tcPr>
            <w:tcW w:type="dxa" w:w="11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۱۴۰۹</w:t>
            </w:r>
          </w:p>
        </w:tc>
        <w:tc>
          <w:tcPr>
            <w:tcW w:type="dxa" w:w="37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بازنگری عدم‌قطعیت‌ها و طراحی افق بعد</w:t>
            </w:r>
          </w:p>
        </w:tc>
        <w:tc>
          <w:tcPr>
            <w:tcW w:type="dxa" w:w="15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G5</w:t>
            </w:r>
          </w:p>
        </w:tc>
        <w:tc>
          <w:tcPr>
            <w:tcW w:type="dxa" w:w="30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سناریو و نقشه راه دوره بعد</w:t>
            </w:r>
          </w:p>
        </w:tc>
      </w:tr>
    </w:tbl>
    <w:p/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۱۵. کنترل‌های مدل، نقشهٔ ادعا و تصمیم‌های موردنیاز مجمع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3300"/>
        <w:gridCol w:w="1900"/>
        <w:gridCol w:w="4160"/>
      </w:tblGrid>
      <w:tr>
        <w:trPr>
          <w:tblHeader w:val="true"/>
          <w:cantSplit w:val="true"/>
        </w:trPr>
        <w:tc>
          <w:tcPr>
            <w:tcW w:type="dxa" w:w="33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کنترل</w:t>
            </w:r>
          </w:p>
        </w:tc>
        <w:tc>
          <w:tcPr>
            <w:tcW w:type="dxa" w:w="19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وضعیت</w:t>
            </w:r>
          </w:p>
        </w:tc>
        <w:tc>
          <w:tcPr>
            <w:tcW w:type="dxa" w:w="41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معنا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فرمول‌های درآمد، سود و CFO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PASS ساختاری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همه از Scenario_Inputs تغذیه می‌شوند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تطبیق هویت سود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PASS ساختاری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GP − Opex = OP و OP − burden = NP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اتصال ۱۴۰۴ به ۱۴۰۵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PASS ساختاری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درآمد ۱۴۰۴ × (۱ + رشد سناریو)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اجرای موتور محاسبات Excel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PASS WITH LIMITS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cache فرمول در بسته ثبت نشده؛ Excel هنگام بازشدن full recalculation انجام می‌دهد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حاکمیت فرادادهٔ فرض‌ها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گیت باز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مالک و دامنهٔ مصوب باید جای placeholderها ثبت شوند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ماکرو/لینک خارجی/connection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ممنوع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فایل Excel مستقل و عمومیِ مشتق‌شده است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احتمال سناریو</w:t>
            </w:r>
          </w:p>
        </w:tc>
        <w:tc>
          <w:tcPr>
            <w:tcW w:type="dxa" w:w="19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تخصیص نیافته</w:t>
            </w:r>
          </w:p>
        </w:tc>
        <w:tc>
          <w:tcPr>
            <w:tcW w:type="dxa" w:w="41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هیچ احتمال یا P10/P50/P90 منتشر نشده</w:t>
            </w:r>
          </w:p>
        </w:tc>
      </w:tr>
      <w:tr>
        <w:trPr>
          <w:cantSplit w:val="true"/>
        </w:trPr>
        <w:tc>
          <w:tcPr>
            <w:tcW w:type="dxa" w:w="33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ترازنامه و نقد پایان</w:t>
            </w:r>
          </w:p>
        </w:tc>
        <w:tc>
          <w:tcPr>
            <w:tcW w:type="dxa" w:w="19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غیرفعال</w:t>
            </w:r>
          </w:p>
        </w:tc>
        <w:tc>
          <w:tcPr>
            <w:tcW w:type="dxa" w:w="41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تا دریافت برنامه‌های سرمایه در گردش/سرمایه‌ای/تأمین مالی</w:t>
            </w:r>
          </w:p>
        </w:tc>
      </w:tr>
    </w:tbl>
    <w:p/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3400"/>
        <w:gridCol w:w="3960"/>
      </w:tblGrid>
      <w:tr>
        <w:trPr>
          <w:tblHeader w:val="true"/>
          <w:cantSplit w:val="true"/>
        </w:trPr>
        <w:tc>
          <w:tcPr>
            <w:tcW w:type="dxa" w:w="20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برچسب</w:t>
            </w:r>
          </w:p>
        </w:tc>
        <w:tc>
          <w:tcPr>
            <w:tcW w:type="dxa" w:w="34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نمونه ادعا</w:t>
            </w:r>
          </w:p>
        </w:tc>
        <w:tc>
          <w:tcPr>
            <w:tcW w:type="dxa" w:w="39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مبنای تصمیم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مستند</w:t>
            </w:r>
          </w:p>
        </w:tc>
        <w:tc>
          <w:tcPr>
            <w:tcW w:type="dxa" w:w="3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اقلام تاریخی ۱۴۰۰–۱۴۰۴</w:t>
            </w:r>
          </w:p>
        </w:tc>
        <w:tc>
          <w:tcPr>
            <w:tcW w:type="dxa" w:w="39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سلول منبع و رجیستر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محاسبه‌شده</w:t>
            </w:r>
          </w:p>
        </w:tc>
        <w:tc>
          <w:tcPr>
            <w:tcW w:type="dxa" w:w="3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CAGR، حاشیه و نسبت‌ها</w:t>
            </w:r>
          </w:p>
        </w:tc>
        <w:tc>
          <w:tcPr>
            <w:tcW w:type="dxa" w:w="39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فرمول بازتولیدپذیر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سناریویی</w:t>
            </w:r>
          </w:p>
        </w:tc>
        <w:tc>
          <w:tcPr>
            <w:tcW w:type="dxa" w:w="3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خروجی ۱۴۰۵–۱۴۰۹</w:t>
            </w:r>
          </w:p>
        </w:tc>
        <w:tc>
          <w:tcPr>
            <w:tcW w:type="dxa" w:w="39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فرض شفاف، مالک و دامنه مصوب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سیگنال محیطی</w:t>
            </w:r>
          </w:p>
        </w:tc>
        <w:tc>
          <w:tcPr>
            <w:tcW w:type="dxa" w:w="340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2D، Digital Link، DPP، اقتصاد کلان</w:t>
            </w:r>
          </w:p>
        </w:tc>
        <w:tc>
          <w:tcPr>
            <w:tcW w:type="dxa" w:w="39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منبع رسمی؛ بدون ورود عددی به مدل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نیازمند تأیید</w:t>
            </w:r>
          </w:p>
        </w:tc>
        <w:tc>
          <w:tcPr>
            <w:tcW w:type="dxa" w:w="340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نظر حسابرس و تطبیق</w:t>
            </w:r>
          </w:p>
        </w:tc>
        <w:tc>
          <w:tcPr>
            <w:tcW w:type="dxa" w:w="39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سند مستقل و صورتجلسه مالک داده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tblHeader w:val="true"/>
        </w:trPr>
        <w:tc>
          <w:tcPr>
            <w:tcW w:type="dxa" w:w="9360"/>
            <w:shd w:fill="E6F0F8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b/>
                <w:sz w:val="20"/>
                <w:rtl w:val="1"/>
              </w:rPr>
              <w:t xml:space="preserve">پنج تصمیم موردنیاز مجمع: </w:t>
            </w:r>
            <w:r>
              <w:rPr>
                <w:rFonts w:ascii="Vazirmatn" w:hAnsi="Vazirmatn" w:cs="Vazirmatn"/>
                <w:sz w:val="20"/>
                <w:rtl w:val="1"/>
              </w:rPr>
              <w:t>۱) مالک و موعد تطبیق رسمی؛ ۲) مسیر دریافت/بررسی نظر حسابرس؛ ۳) تصویب یا رد دامنهٔ فرض‌های سناریویی؛ ۴) تعیین آستانه‌های نقد، حاشیه، وصول، ظرفیت و کیفیت؛ ۵) اجازهٔ پایلوت فقط با معیارهای ورود، توقف، توسعه و بازگشت ثبت‌شده.</w:t>
            </w:r>
          </w:p>
        </w:tc>
      </w:tr>
    </w:tbl>
    <w:p/>
    <w:p>
      <w:r>
        <w:br w:type="page"/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۱۶. پیوست الف — رجیستر منبع و ردیابی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800"/>
        <w:gridCol w:w="1800"/>
        <w:gridCol w:w="1700"/>
        <w:gridCol w:w="1800"/>
        <w:gridCol w:w="1550"/>
        <w:gridCol w:w="1710"/>
      </w:tblGrid>
      <w:tr>
        <w:trPr>
          <w:tblHeader w:val="true"/>
          <w:cantSplit w:val="true"/>
        </w:trPr>
        <w:tc>
          <w:tcPr>
            <w:tcW w:type="dxa" w:w="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سال</w:t>
            </w:r>
          </w:p>
        </w:tc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شناسهٔ منبع عمومی</w:t>
            </w:r>
          </w:p>
        </w:tc>
        <w:tc>
          <w:tcPr>
            <w:tcW w:type="dxa" w:w="17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سلول‌های سودوزیان</w:t>
            </w:r>
          </w:p>
        </w:tc>
        <w:tc>
          <w:tcPr>
            <w:tcW w:type="dxa" w:w="18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سلول‌های وضعیت مالی</w:t>
            </w:r>
          </w:p>
        </w:tc>
        <w:tc>
          <w:tcPr>
            <w:tcW w:type="dxa" w:w="155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سلول‌های جریان نقد</w:t>
            </w:r>
          </w:p>
        </w:tc>
        <w:tc>
          <w:tcPr>
            <w:tcW w:type="dxa" w:w="171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7"/>
                <w:rtl w:val="1"/>
              </w:rPr>
              <w:t>واحد اولیه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۱۴۰۰</w:t>
            </w:r>
          </w:p>
        </w:tc>
        <w:tc>
          <w:tcPr>
            <w:tcW w:type="dxa" w:w="18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WB-FY1400</w:t>
            </w:r>
          </w:p>
        </w:tc>
        <w:tc>
          <w:tcPr>
            <w:tcW w:type="dxa" w:w="17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R9C6/R11C6/R17C6/R26C6</w:t>
            </w:r>
          </w:p>
        </w:tc>
        <w:tc>
          <w:tcPr>
            <w:tcW w:type="dxa" w:w="18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R24C6/R54C6/R37C6/R20C6</w:t>
            </w:r>
          </w:p>
        </w:tc>
        <w:tc>
          <w:tcPr>
            <w:tcW w:type="dxa" w:w="155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R10C4/R52C4</w:t>
            </w:r>
          </w:p>
        </w:tc>
        <w:tc>
          <w:tcPr>
            <w:tcW w:type="dxa" w:w="17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ریال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۱۴۰۱</w:t>
            </w:r>
          </w:p>
        </w:tc>
        <w:tc>
          <w:tcPr>
            <w:tcW w:type="dxa" w:w="18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WB-FY1401</w:t>
            </w:r>
          </w:p>
        </w:tc>
        <w:tc>
          <w:tcPr>
            <w:tcW w:type="dxa" w:w="17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F9/F11/F17/F26</w:t>
            </w:r>
          </w:p>
        </w:tc>
        <w:tc>
          <w:tcPr>
            <w:tcW w:type="dxa" w:w="18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F24/F54/F37/F20</w:t>
            </w:r>
          </w:p>
        </w:tc>
        <w:tc>
          <w:tcPr>
            <w:tcW w:type="dxa" w:w="155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D10/D52</w:t>
            </w:r>
          </w:p>
        </w:tc>
        <w:tc>
          <w:tcPr>
            <w:tcW w:type="dxa" w:w="17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ریال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۱۴۰۲</w:t>
            </w:r>
          </w:p>
        </w:tc>
        <w:tc>
          <w:tcPr>
            <w:tcW w:type="dxa" w:w="18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WB-FY1402</w:t>
            </w:r>
          </w:p>
        </w:tc>
        <w:tc>
          <w:tcPr>
            <w:tcW w:type="dxa" w:w="17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F9/F11/F17/F26</w:t>
            </w:r>
          </w:p>
        </w:tc>
        <w:tc>
          <w:tcPr>
            <w:tcW w:type="dxa" w:w="18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F24/F54/F37/F20</w:t>
            </w:r>
          </w:p>
        </w:tc>
        <w:tc>
          <w:tcPr>
            <w:tcW w:type="dxa" w:w="155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E10/E52</w:t>
            </w:r>
          </w:p>
        </w:tc>
        <w:tc>
          <w:tcPr>
            <w:tcW w:type="dxa" w:w="17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میلیون ریال؛ در این گزارش ×۱٬۰۰۰٬۰۰۰ به ریال نرمال‌سازی شده است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۱۴۰۳</w:t>
            </w:r>
          </w:p>
        </w:tc>
        <w:tc>
          <w:tcPr>
            <w:tcW w:type="dxa" w:w="18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WB-FY1403</w:t>
            </w:r>
          </w:p>
        </w:tc>
        <w:tc>
          <w:tcPr>
            <w:tcW w:type="dxa" w:w="17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F9/F11/F17/F24</w:t>
            </w:r>
          </w:p>
        </w:tc>
        <w:tc>
          <w:tcPr>
            <w:tcW w:type="dxa" w:w="180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F24/F54/F37/F20</w:t>
            </w:r>
          </w:p>
        </w:tc>
        <w:tc>
          <w:tcPr>
            <w:tcW w:type="dxa" w:w="1550"/>
            <w:vAlign w:val="center"/>
            <w:shd w:fill="F4F7FA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E10/E52</w:t>
            </w:r>
          </w:p>
        </w:tc>
        <w:tc>
          <w:tcPr>
            <w:tcW w:type="dxa" w:w="171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ریال</w:t>
            </w:r>
          </w:p>
        </w:tc>
      </w:tr>
      <w:tr>
        <w:trPr>
          <w:cantSplit w:val="true"/>
        </w:trPr>
        <w:tc>
          <w:tcPr>
            <w:tcW w:type="dxa" w:w="8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۱۴۰۴</w:t>
            </w:r>
          </w:p>
        </w:tc>
        <w:tc>
          <w:tcPr>
            <w:tcW w:type="dxa" w:w="18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WB-FY1404</w:t>
            </w:r>
          </w:p>
        </w:tc>
        <w:tc>
          <w:tcPr>
            <w:tcW w:type="dxa" w:w="17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F9/F11/F17/F24</w:t>
            </w:r>
          </w:p>
        </w:tc>
        <w:tc>
          <w:tcPr>
            <w:tcW w:type="dxa" w:w="180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F24/F54/F37/F20</w:t>
            </w:r>
          </w:p>
        </w:tc>
        <w:tc>
          <w:tcPr>
            <w:tcW w:type="dxa" w:w="1550"/>
            <w:vAlign w:val="center"/>
            <w:noWrap w:val="true"/>
          </w:tcPr>
          <w:p>
            <w:pPr>
              <w:jc w:val="center"/>
              <w:bidi w:val="0"/>
            </w:pPr>
            <w:r/>
            <w:r>
              <w:rPr>
                <w:rFonts w:ascii="Aptos" w:hAnsi="Aptos" w:cs="Aptos"/>
                <w:sz w:val="15"/>
                <w:rtl w:val="0"/>
              </w:rPr>
              <w:t>E10/E52</w:t>
            </w:r>
          </w:p>
        </w:tc>
        <w:tc>
          <w:tcPr>
            <w:tcW w:type="dxa" w:w="171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5"/>
                <w:rtl w:val="1"/>
              </w:rPr>
              <w:t>ریال</w:t>
            </w:r>
          </w:p>
        </w:tc>
      </w:tr>
    </w:tbl>
    <w:p/>
    <w:p>
      <w:pPr>
        <w:jc w:val="right"/>
        <w:bidi w:val="1"/>
      </w:pPr>
      <w:r>
        <w:rPr>
          <w:rFonts w:ascii="Vazirmatn" w:hAnsi="Vazirmatn" w:cs="Vazirmatn"/>
          <w:b w:val="0"/>
          <w:color w:val="637383"/>
          <w:sz w:val="19"/>
          <w:rtl w:val="1"/>
        </w:rPr>
        <w:t>شناسهٔ کوتاه و آدرس سلول‌ها برای ردیابی چاپی درج شده‌اند؛ نام دقیق فایل در source-register.json نگهداری می‌شود. فایل‌های خام در بستهٔ عمومی قرار ندارند و دسترسی به آن‌ها باید طبق سیاست مالک/سازمان مدیریت شود.</w:t>
      </w:r>
    </w:p>
    <w:p>
      <w:pPr>
        <w:pStyle w:val="Heading1"/>
        <w:jc w:val="right"/>
        <w:bidi w:val="1"/>
      </w:pPr>
      <w:r>
        <w:rPr>
          <w:rFonts w:ascii="Vazirmatn" w:hAnsi="Vazirmatn" w:cs="Vazirmatn"/>
          <w:color w:val="0D2A4A"/>
          <w:rtl w:val="1"/>
        </w:rPr>
        <w:t>۱۷. پیوست ب — واژه‌نامهٔ برچسب‌های ادعا</w:t>
      </w:r>
    </w:p>
    <w:tbl>
      <w:tblPr>
        <w:tblStyle w:val="TableGrid"/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2000"/>
        <w:gridCol w:w="7360"/>
      </w:tblGrid>
      <w:tr>
        <w:trPr>
          <w:tblHeader w:val="true"/>
          <w:cantSplit w:val="true"/>
        </w:trPr>
        <w:tc>
          <w:tcPr>
            <w:tcW w:type="dxa" w:w="200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برچسب</w:t>
            </w:r>
          </w:p>
        </w:tc>
        <w:tc>
          <w:tcPr>
            <w:tcW w:type="dxa" w:w="7360"/>
            <w:vAlign w:val="center"/>
            <w:shd w:fill="0D2A4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b/>
                <w:color w:val="FFFFFF"/>
                <w:sz w:val="19"/>
                <w:rtl w:val="1"/>
              </w:rPr>
              <w:t>معنا در این بسته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مستند</w:t>
            </w:r>
          </w:p>
        </w:tc>
        <w:tc>
          <w:tcPr>
            <w:tcW w:type="dxa" w:w="73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مقداری که از سلول منبعِ سال مربوط استخراج شده است.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محاسبه‌شده</w:t>
            </w:r>
          </w:p>
        </w:tc>
        <w:tc>
          <w:tcPr>
            <w:tcW w:type="dxa" w:w="73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نسبت، رشد یا تبدیل واحد که فرمول آن در analysis-data.json ثبت شده است.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سناریویی</w:t>
            </w:r>
          </w:p>
        </w:tc>
        <w:tc>
          <w:tcPr>
            <w:tcW w:type="dxa" w:w="73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خروجی مدل از فرض‌های صریح و قابل ویرایش؛ بدون وزن، احتمال یا تعهد اجرایی.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  <w:shd w:fill="F4F7FA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سیگنال محیطی</w:t>
            </w:r>
          </w:p>
        </w:tc>
        <w:tc>
          <w:tcPr>
            <w:tcW w:type="dxa" w:w="7360"/>
            <w:vAlign w:val="center"/>
            <w:shd w:fill="F4F7FA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اطلاعات رسمیِ بیرونی برای قاب‌بندی آینده؛ نه ورودی عددی مدل.</w:t>
            </w:r>
          </w:p>
        </w:tc>
      </w:tr>
      <w:tr>
        <w:trPr>
          <w:cantSplit w:val="true"/>
        </w:trPr>
        <w:tc>
          <w:tcPr>
            <w:tcW w:type="dxa" w:w="2000"/>
            <w:vAlign w:val="center"/>
          </w:tcPr>
          <w:p>
            <w:pPr>
              <w:jc w:val="right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نیازمند تأیید</w:t>
            </w:r>
          </w:p>
        </w:tc>
        <w:tc>
          <w:tcPr>
            <w:tcW w:type="dxa" w:w="7360"/>
            <w:vAlign w:val="center"/>
          </w:tcPr>
          <w:p>
            <w:pPr>
              <w:jc w:val="center"/>
              <w:bidi w:val="1"/>
            </w:pPr>
            <w:r/>
            <w:r>
              <w:rPr>
                <w:rFonts w:ascii="Vazirmatn" w:hAnsi="Vazirmatn" w:cs="Vazirmatn"/>
                <w:sz w:val="17"/>
                <w:rtl w:val="1"/>
              </w:rPr>
              <w:t>نکته‌ای که برای اتکای رسمی باید با سند مستقل یا تطبیق مالک داده بسته شود.</w:t>
            </w:r>
          </w:p>
        </w:tc>
      </w:tr>
    </w:tbl>
    <w:p/>
    <w:sectPr w:rsidR="00FC693F" w:rsidRPr="0006063C" w:rsidSect="00034616">
      <w:headerReference w:type="default" r:id="rId9"/>
      <w:footerReference w:type="default" r:id="rId10"/>
      <w:pgSz w:w="11906" w:h="16838"/>
      <w:pgMar w:top="935" w:right="992" w:bottom="87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bidi w:val="1"/>
    </w:pPr>
    <w:r>
      <w:rPr>
        <w:rFonts w:ascii="Vazirmatn" w:hAnsi="Vazirmatn" w:cs="Vazirmatn"/>
        <w:sz w:val="16"/>
        <w:rtl w:val="1"/>
      </w:rPr>
      <w:t xml:space="preserve">نسخهٔ عمومی مشتق‌شده | ۱۴۰۵/۰۶/۱۰ | صفحه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dxa" w:w="9360"/>
      <w:jc w:val="center"/>
      <w:tblLayout w:type="fixed"/>
      <w:tblLook w:firstColumn="1" w:firstRow="1" w:lastColumn="0" w:lastRow="0" w:noHBand="0" w:noVBand="1" w:val="04A0"/>
      <w:tblInd w:w="120" w:type="dxa"/>
    </w:tblPr>
    <w:tblGrid>
      <w:gridCol w:w="4680"/>
      <w:gridCol w:w="4680"/>
    </w:tblGrid>
    <w:tr>
      <w:trPr>
        <w:tblHeader w:val="true"/>
      </w:trPr>
      <w:tc>
        <w:tcPr>
          <w:tcW w:type="dxa" w:w="4680"/>
        </w:tcPr>
        <w:p>
          <w:pPr>
            <w:jc w:val="right"/>
            <w:bidi w:val="1"/>
          </w:pPr>
          <w:r/>
          <w:r>
            <w:rPr>
              <w:rFonts w:ascii="Vazirmatn" w:hAnsi="Vazirmatn" w:cs="Vazirmatn"/>
              <w:color w:val="637383"/>
              <w:sz w:val="16"/>
              <w:rtl w:val="1"/>
            </w:rPr>
            <w:t>گزارش مجمع ۱۴۰۵</w:t>
          </w:r>
        </w:p>
      </w:tc>
      <w:tc>
        <w:tcPr>
          <w:tcW w:type="dxa" w:w="4680"/>
        </w:tcPr>
        <w:p>
          <w:pPr>
            <w:jc w:val="left"/>
            <w:bidi w:val="1"/>
          </w:pPr>
          <w:r/>
          <w:r>
            <w:rPr>
              <w:rFonts w:ascii="Vazirmatn" w:hAnsi="Vazirmatn" w:cs="Vazirmatn"/>
              <w:color w:val="637383"/>
              <w:sz w:val="16"/>
              <w:rtl w:val="1"/>
            </w:rPr>
            <w:t>تحلیل مبتنی بر داده‌های پیوست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/>
    </w:pPr>
    <w:rPr>
      <w:rFonts w:ascii="Vazirmatn" w:hAnsi="Vazirmatn" w:cs="Vazirmatn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Vazirmatn" w:hAnsi="Vazirmatn" w:cs="Vazirmatn"/>
      <w:b/>
      <w:bCs/>
      <w:color w:val="365F91" w:themeColor="accent1" w:themeShade="B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Vazirmatn" w:hAnsi="Vazirmatn" w:cs="Vazirmatn"/>
      <w:b/>
      <w:bCs/>
      <w:color w:val="4F81BD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Vazirmatn" w:hAnsi="Vazirmatn" w:cs="Vazirmatn"/>
      <w:b/>
      <w:bCs/>
      <w:color w:val="4F81BD" w:themeColor="accent1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portCaption">
    <w:name w:val="Report Caption"/>
    <w:rPr>
      <w:rFonts w:ascii="Vazirmatn" w:hAnsi="Vazirmatn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image" Target="media/image7.png"/><Relationship Id="rId18" Type="http://schemas.openxmlformats.org/officeDocument/2006/relationships/image" Target="media/image8.png"/><Relationship Id="rId19" Type="http://schemas.openxmlformats.org/officeDocument/2006/relationships/image" Target="media/image9.png"/><Relationship Id="rId20" Type="http://schemas.openxmlformats.org/officeDocument/2006/relationships/image" Target="media/image10.png"/><Relationship Id="rId21" Type="http://schemas.openxmlformats.org/officeDocument/2006/relationships/image" Target="media/image11.png"/><Relationship Id="rId22" Type="http://schemas.openxmlformats.org/officeDocument/2006/relationships/image" Target="media/image12.png"/><Relationship Id="rId23" Type="http://schemas.openxmlformats.org/officeDocument/2006/relationships/image" Target="media/image13.png"/><Relationship Id="rId24" Type="http://schemas.openxmlformats.org/officeDocument/2006/relationships/image" Target="media/image14.png"/><Relationship Id="rId25" Type="http://schemas.openxmlformats.org/officeDocument/2006/relationships/image" Target="media/image15.png"/><Relationship Id="rId26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